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70" w:rsidRDefault="007A6394">
      <w:pPr>
        <w:spacing w:beforeLines="50" w:before="156" w:afterLines="50" w:after="156" w:line="400" w:lineRule="exact"/>
        <w:ind w:firstLineChars="500" w:firstLine="1200"/>
        <w:rPr>
          <w:rFonts w:ascii="宋体" w:hAnsi="宋体"/>
          <w:bCs/>
          <w:iCs/>
          <w:color w:val="000000" w:themeColor="text1"/>
          <w:sz w:val="24"/>
        </w:rPr>
      </w:pPr>
      <w:r>
        <w:rPr>
          <w:rFonts w:ascii="宋体" w:hAnsi="宋体" w:hint="eastAsia"/>
          <w:bCs/>
          <w:iCs/>
          <w:color w:val="000000" w:themeColor="text1"/>
          <w:sz w:val="24"/>
        </w:rPr>
        <w:t>证券代码：</w:t>
      </w:r>
      <w:r>
        <w:rPr>
          <w:rFonts w:ascii="宋体" w:hAnsi="宋体"/>
          <w:bCs/>
          <w:iCs/>
          <w:color w:val="000000" w:themeColor="text1"/>
          <w:sz w:val="24"/>
        </w:rPr>
        <w:t>002197                证券简称：证通电子</w:t>
      </w:r>
    </w:p>
    <w:p w:rsidR="00986F70" w:rsidRDefault="007A639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 w:themeColor="text1"/>
          <w:sz w:val="32"/>
          <w:szCs w:val="32"/>
        </w:rPr>
        <w:t>深圳市证通电子股份有限公司投资者关系活动记录表</w:t>
      </w:r>
    </w:p>
    <w:p w:rsidR="00986F70" w:rsidRDefault="007A6394">
      <w:pPr>
        <w:spacing w:line="360" w:lineRule="auto"/>
        <w:rPr>
          <w:rFonts w:ascii="宋体" w:hAnsi="宋体"/>
          <w:bCs/>
          <w:iCs/>
          <w:color w:val="000000" w:themeColor="text1"/>
          <w:sz w:val="24"/>
        </w:rPr>
      </w:pPr>
      <w:r>
        <w:rPr>
          <w:rFonts w:ascii="宋体" w:hAnsi="宋体"/>
          <w:bCs/>
          <w:iCs/>
          <w:color w:val="000000" w:themeColor="text1"/>
          <w:sz w:val="24"/>
        </w:rPr>
        <w:t xml:space="preserve">                                                 编号：201</w:t>
      </w:r>
      <w:r w:rsidR="00651CD3">
        <w:rPr>
          <w:rFonts w:ascii="宋体" w:hAnsi="宋体" w:hint="eastAsia"/>
          <w:bCs/>
          <w:iCs/>
          <w:color w:val="000000" w:themeColor="text1"/>
          <w:sz w:val="24"/>
        </w:rPr>
        <w:t>9</w:t>
      </w:r>
      <w:r>
        <w:rPr>
          <w:rFonts w:ascii="宋体" w:hAnsi="宋体"/>
          <w:bCs/>
          <w:iCs/>
          <w:color w:val="000000" w:themeColor="text1"/>
          <w:sz w:val="24"/>
        </w:rPr>
        <w:t>-001</w:t>
      </w:r>
    </w:p>
    <w:tbl>
      <w:tblPr>
        <w:tblStyle w:val="a7"/>
        <w:tblW w:w="8763" w:type="dxa"/>
        <w:tblLayout w:type="fixed"/>
        <w:tblLook w:val="04A0" w:firstRow="1" w:lastRow="0" w:firstColumn="1" w:lastColumn="0" w:noHBand="0" w:noVBand="1"/>
      </w:tblPr>
      <w:tblGrid>
        <w:gridCol w:w="1962"/>
        <w:gridCol w:w="6801"/>
      </w:tblGrid>
      <w:tr w:rsidR="00986F70">
        <w:trPr>
          <w:trHeight w:val="3549"/>
        </w:trPr>
        <w:tc>
          <w:tcPr>
            <w:tcW w:w="1962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投资者关系活动类别</w:t>
            </w:r>
          </w:p>
          <w:p w:rsidR="00986F70" w:rsidRDefault="00986F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6801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√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特定对象调研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分析师会议</w:t>
            </w:r>
          </w:p>
          <w:p w:rsidR="00986F70" w:rsidRDefault="007A6394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媒体采访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业绩说明会</w:t>
            </w:r>
          </w:p>
          <w:p w:rsidR="00986F70" w:rsidRDefault="007A6394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新闻发布会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路演活动</w:t>
            </w:r>
          </w:p>
          <w:p w:rsidR="00986F70" w:rsidRDefault="007A639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现场参观</w:t>
            </w:r>
          </w:p>
          <w:p w:rsidR="00986F70" w:rsidRDefault="007A639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8"/>
                <w:szCs w:val="28"/>
                <w:u w:val="single"/>
              </w:rPr>
              <w:t>说明其他活动内容）</w:t>
            </w:r>
          </w:p>
        </w:tc>
      </w:tr>
      <w:tr w:rsidR="00986F70">
        <w:trPr>
          <w:trHeight w:val="1099"/>
        </w:trPr>
        <w:tc>
          <w:tcPr>
            <w:tcW w:w="1962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参与单位名称及人员姓名</w:t>
            </w:r>
          </w:p>
        </w:tc>
        <w:tc>
          <w:tcPr>
            <w:tcW w:w="6801" w:type="dxa"/>
            <w:vAlign w:val="center"/>
          </w:tcPr>
          <w:p w:rsidR="00986F70" w:rsidRDefault="008A1028" w:rsidP="001913E1">
            <w:pPr>
              <w:spacing w:line="48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中信里昂证券</w:t>
            </w:r>
            <w:r w:rsidR="009D7DFA">
              <w:rPr>
                <w:rFonts w:hint="eastAsia"/>
                <w:color w:val="000000" w:themeColor="text1"/>
                <w:sz w:val="24"/>
              </w:rPr>
              <w:t>—</w:t>
            </w:r>
            <w:r w:rsidR="001913E1">
              <w:rPr>
                <w:rFonts w:hint="eastAsia"/>
                <w:color w:val="000000" w:themeColor="text1"/>
                <w:sz w:val="24"/>
              </w:rPr>
              <w:t>马卓蓝</w:t>
            </w:r>
            <w:r w:rsidR="009D7DFA">
              <w:rPr>
                <w:rFonts w:hint="eastAsia"/>
                <w:color w:val="000000" w:themeColor="text1"/>
                <w:sz w:val="24"/>
              </w:rPr>
              <w:t>、</w:t>
            </w:r>
            <w:r w:rsidR="001913E1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="001913E1">
              <w:rPr>
                <w:rFonts w:hint="eastAsia"/>
                <w:color w:val="000000" w:themeColor="text1"/>
                <w:sz w:val="24"/>
              </w:rPr>
              <w:t>林仲衡</w:t>
            </w:r>
            <w:proofErr w:type="gramEnd"/>
            <w:r w:rsidR="009D7DFA">
              <w:rPr>
                <w:rFonts w:hint="eastAsia"/>
                <w:color w:val="000000" w:themeColor="text1"/>
                <w:sz w:val="24"/>
              </w:rPr>
              <w:t>；</w:t>
            </w:r>
            <w:proofErr w:type="gramStart"/>
            <w:r w:rsidR="001913E1" w:rsidRPr="001913E1">
              <w:rPr>
                <w:color w:val="000000" w:themeColor="text1"/>
                <w:sz w:val="24"/>
              </w:rPr>
              <w:t>万联证券</w:t>
            </w:r>
            <w:proofErr w:type="gramEnd"/>
            <w:r w:rsidR="009D7DFA">
              <w:rPr>
                <w:rFonts w:hint="eastAsia"/>
                <w:color w:val="000000" w:themeColor="text1"/>
                <w:sz w:val="24"/>
              </w:rPr>
              <w:t>—</w:t>
            </w:r>
            <w:r w:rsidR="001913E1">
              <w:rPr>
                <w:rFonts w:hint="eastAsia"/>
                <w:color w:val="000000" w:themeColor="text1"/>
                <w:sz w:val="24"/>
              </w:rPr>
              <w:t>徐益</w:t>
            </w:r>
            <w:r w:rsidR="00063356">
              <w:rPr>
                <w:rFonts w:hint="eastAsia"/>
                <w:color w:val="000000" w:themeColor="text1"/>
                <w:sz w:val="24"/>
              </w:rPr>
              <w:t>彬</w:t>
            </w:r>
          </w:p>
        </w:tc>
      </w:tr>
      <w:tr w:rsidR="00986F70">
        <w:trPr>
          <w:trHeight w:val="532"/>
        </w:trPr>
        <w:tc>
          <w:tcPr>
            <w:tcW w:w="1962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时间</w:t>
            </w:r>
          </w:p>
        </w:tc>
        <w:tc>
          <w:tcPr>
            <w:tcW w:w="6801" w:type="dxa"/>
          </w:tcPr>
          <w:p w:rsidR="00986F70" w:rsidRDefault="007A6394" w:rsidP="00651CD3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201</w:t>
            </w:r>
            <w:r w:rsidR="00651CD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年</w:t>
            </w:r>
            <w:r w:rsidR="00651CD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月</w:t>
            </w:r>
            <w:r w:rsidR="00651CD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8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日1</w:t>
            </w:r>
            <w:r w:rsidR="00651CD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0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:00-1</w:t>
            </w:r>
            <w:r w:rsidR="00651CD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:00</w:t>
            </w:r>
          </w:p>
        </w:tc>
      </w:tr>
      <w:tr w:rsidR="00986F70">
        <w:trPr>
          <w:trHeight w:val="550"/>
        </w:trPr>
        <w:tc>
          <w:tcPr>
            <w:tcW w:w="1962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地点</w:t>
            </w:r>
          </w:p>
        </w:tc>
        <w:tc>
          <w:tcPr>
            <w:tcW w:w="6801" w:type="dxa"/>
          </w:tcPr>
          <w:p w:rsidR="00986F70" w:rsidRDefault="007A6394" w:rsidP="00CD193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深圳市光明区同观路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3号证通电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子产业园二期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14楼会议室</w:t>
            </w:r>
          </w:p>
        </w:tc>
      </w:tr>
      <w:tr w:rsidR="00986F70">
        <w:trPr>
          <w:trHeight w:val="1099"/>
        </w:trPr>
        <w:tc>
          <w:tcPr>
            <w:tcW w:w="1962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上市公司接待人员姓名</w:t>
            </w:r>
          </w:p>
        </w:tc>
        <w:tc>
          <w:tcPr>
            <w:tcW w:w="6801" w:type="dxa"/>
          </w:tcPr>
          <w:p w:rsidR="00986F70" w:rsidRDefault="007A6394">
            <w:pPr>
              <w:spacing w:line="48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副总裁、董事会秘书：傅德亮</w:t>
            </w:r>
          </w:p>
          <w:p w:rsidR="00986F70" w:rsidRDefault="007A6394" w:rsidP="00651CD3">
            <w:pPr>
              <w:spacing w:line="48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董事会办公室</w:t>
            </w:r>
            <w:r w:rsidR="00EA5F8D">
              <w:rPr>
                <w:rFonts w:hint="eastAsia"/>
                <w:color w:val="000000" w:themeColor="text1"/>
                <w:sz w:val="24"/>
              </w:rPr>
              <w:t>：燕明兰</w:t>
            </w:r>
          </w:p>
        </w:tc>
      </w:tr>
      <w:tr w:rsidR="00986F70">
        <w:trPr>
          <w:trHeight w:val="2051"/>
        </w:trPr>
        <w:tc>
          <w:tcPr>
            <w:tcW w:w="1962" w:type="dxa"/>
            <w:vAlign w:val="center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投资者关系活动主要内容介绍</w:t>
            </w:r>
          </w:p>
          <w:p w:rsidR="00986F70" w:rsidRDefault="00986F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6801" w:type="dxa"/>
          </w:tcPr>
          <w:p w:rsidR="00986F70" w:rsidRDefault="007A6394">
            <w:pPr>
              <w:spacing w:line="48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本次投资者关系活动的主要内容如下：</w:t>
            </w:r>
          </w:p>
          <w:p w:rsidR="00986F70" w:rsidRDefault="00651CD3">
            <w:pPr>
              <w:numPr>
                <w:ilvl w:val="0"/>
                <w:numId w:val="1"/>
              </w:numPr>
              <w:spacing w:line="48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董事会秘书傅德亮</w:t>
            </w:r>
            <w:r w:rsidR="007A6394">
              <w:rPr>
                <w:rFonts w:hint="eastAsia"/>
                <w:color w:val="000000" w:themeColor="text1"/>
                <w:sz w:val="24"/>
              </w:rPr>
              <w:t>简要介绍公司的</w:t>
            </w:r>
            <w:r w:rsidR="009C15C9">
              <w:rPr>
                <w:rFonts w:hint="eastAsia"/>
                <w:color w:val="000000" w:themeColor="text1"/>
                <w:sz w:val="24"/>
              </w:rPr>
              <w:t>业务发展情况</w:t>
            </w:r>
            <w:r w:rsidR="007A6394">
              <w:rPr>
                <w:rFonts w:hint="eastAsia"/>
                <w:color w:val="000000" w:themeColor="text1"/>
                <w:sz w:val="24"/>
              </w:rPr>
              <w:t>等。</w:t>
            </w:r>
          </w:p>
          <w:p w:rsidR="00986F70" w:rsidRDefault="007A6394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互动提问环节。</w:t>
            </w:r>
          </w:p>
          <w:p w:rsidR="00775A0D" w:rsidRDefault="00AE53E4" w:rsidP="00DE507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傅德亮</w:t>
            </w:r>
            <w:r w:rsidR="007A6394"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  <w:r w:rsidRPr="00AE53E4">
              <w:rPr>
                <w:rFonts w:ascii="宋体" w:hAnsi="宋体" w:cs="宋体" w:hint="eastAsia"/>
                <w:color w:val="000000" w:themeColor="text1"/>
                <w:sz w:val="24"/>
              </w:rPr>
              <w:t>证通电子创办于1993年，金融电子是公司成立至今的传统核心业务，</w:t>
            </w:r>
            <w:r w:rsidR="00F96EC6">
              <w:rPr>
                <w:rFonts w:ascii="宋体" w:hAnsi="宋体" w:cs="宋体" w:hint="eastAsia"/>
                <w:color w:val="000000" w:themeColor="text1"/>
                <w:sz w:val="24"/>
              </w:rPr>
              <w:t>银行是公司自成立以来的核心客户，</w:t>
            </w:r>
            <w:r w:rsidR="008E1D75">
              <w:rPr>
                <w:rFonts w:ascii="宋体" w:hAnsi="宋体" w:cs="宋体" w:hint="eastAsia"/>
                <w:color w:val="000000" w:themeColor="text1"/>
                <w:sz w:val="24"/>
              </w:rPr>
              <w:t>公司伴随银行历次</w:t>
            </w:r>
            <w:r w:rsidR="00916FB3">
              <w:rPr>
                <w:rFonts w:ascii="宋体" w:hAnsi="宋体" w:cs="宋体" w:hint="eastAsia"/>
                <w:color w:val="000000" w:themeColor="text1"/>
                <w:sz w:val="24"/>
              </w:rPr>
              <w:t>电子化、信息化</w:t>
            </w:r>
            <w:r w:rsidR="008E1D75">
              <w:rPr>
                <w:rFonts w:ascii="宋体" w:hAnsi="宋体" w:cs="宋体" w:hint="eastAsia"/>
                <w:color w:val="000000" w:themeColor="text1"/>
                <w:sz w:val="24"/>
              </w:rPr>
              <w:t>转型升级的</w:t>
            </w:r>
            <w:r w:rsidR="00823232">
              <w:rPr>
                <w:rFonts w:ascii="宋体" w:hAnsi="宋体" w:cs="宋体" w:hint="eastAsia"/>
                <w:color w:val="000000" w:themeColor="text1"/>
                <w:sz w:val="24"/>
              </w:rPr>
              <w:t>步伐，</w:t>
            </w:r>
            <w:r w:rsidR="008F4E3A">
              <w:rPr>
                <w:rFonts w:ascii="宋体" w:hAnsi="宋体" w:cs="宋体" w:hint="eastAsia"/>
                <w:color w:val="000000" w:themeColor="text1"/>
                <w:sz w:val="24"/>
              </w:rPr>
              <w:t>快速响应</w:t>
            </w:r>
            <w:r w:rsidR="00916FB3">
              <w:rPr>
                <w:rFonts w:ascii="宋体" w:hAnsi="宋体" w:cs="宋体" w:hint="eastAsia"/>
                <w:color w:val="000000" w:themeColor="text1"/>
                <w:sz w:val="24"/>
              </w:rPr>
              <w:t>他们的</w:t>
            </w:r>
            <w:r w:rsidR="002D5381">
              <w:rPr>
                <w:rFonts w:ascii="宋体" w:hAnsi="宋体" w:cs="宋体" w:hint="eastAsia"/>
                <w:color w:val="000000" w:themeColor="text1"/>
                <w:sz w:val="24"/>
              </w:rPr>
              <w:t>需求</w:t>
            </w:r>
            <w:r w:rsidR="008F4E3A">
              <w:rPr>
                <w:rFonts w:ascii="宋体" w:hAnsi="宋体" w:cs="宋体" w:hint="eastAsia"/>
                <w:color w:val="000000" w:themeColor="text1"/>
                <w:sz w:val="24"/>
              </w:rPr>
              <w:t>并</w:t>
            </w:r>
            <w:r w:rsidR="00823232">
              <w:rPr>
                <w:rFonts w:ascii="宋体" w:hAnsi="宋体" w:cs="宋体" w:hint="eastAsia"/>
                <w:color w:val="000000" w:themeColor="text1"/>
                <w:sz w:val="24"/>
              </w:rPr>
              <w:t>提供</w:t>
            </w:r>
            <w:r w:rsidR="00036381">
              <w:rPr>
                <w:rFonts w:ascii="宋体" w:hAnsi="宋体" w:cs="宋体" w:hint="eastAsia"/>
                <w:color w:val="000000" w:themeColor="text1"/>
                <w:sz w:val="24"/>
              </w:rPr>
              <w:t>密码键盘、</w:t>
            </w:r>
            <w:r w:rsidR="00823232">
              <w:rPr>
                <w:rFonts w:ascii="宋体" w:hAnsi="宋体" w:cs="宋体" w:hint="eastAsia"/>
                <w:color w:val="000000" w:themeColor="text1"/>
                <w:sz w:val="24"/>
              </w:rPr>
              <w:t>自助服务终端、</w:t>
            </w:r>
            <w:r w:rsidR="008F4E3A">
              <w:rPr>
                <w:rFonts w:ascii="宋体" w:hAnsi="宋体" w:cs="宋体" w:hint="eastAsia"/>
                <w:color w:val="000000" w:themeColor="text1"/>
                <w:sz w:val="24"/>
              </w:rPr>
              <w:t>智慧柜员机、</w:t>
            </w:r>
            <w:r w:rsidR="00823232">
              <w:rPr>
                <w:rFonts w:ascii="宋体" w:hAnsi="宋体" w:cs="宋体" w:hint="eastAsia"/>
                <w:color w:val="000000" w:themeColor="text1"/>
                <w:sz w:val="24"/>
              </w:rPr>
              <w:t>安全支付产品等硬件设备</w:t>
            </w:r>
            <w:r w:rsidR="00106401">
              <w:rPr>
                <w:rFonts w:ascii="宋体" w:hAnsi="宋体" w:cs="宋体" w:hint="eastAsia"/>
                <w:color w:val="000000" w:themeColor="text1"/>
                <w:sz w:val="24"/>
              </w:rPr>
              <w:t>，也因此积累了</w:t>
            </w:r>
            <w:r w:rsidR="00FC071C">
              <w:rPr>
                <w:rFonts w:ascii="宋体" w:hAnsi="宋体" w:cs="宋体" w:hint="eastAsia"/>
                <w:color w:val="000000" w:themeColor="text1"/>
                <w:sz w:val="24"/>
              </w:rPr>
              <w:t>扎实的</w:t>
            </w:r>
            <w:r w:rsidR="00106401">
              <w:rPr>
                <w:rFonts w:ascii="宋体" w:hAnsi="宋体" w:cs="宋体" w:hint="eastAsia"/>
                <w:color w:val="000000" w:themeColor="text1"/>
                <w:sz w:val="24"/>
              </w:rPr>
              <w:t>研发</w:t>
            </w:r>
            <w:r w:rsidR="00C218A7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FC071C">
              <w:rPr>
                <w:rFonts w:ascii="宋体" w:hAnsi="宋体" w:cs="宋体" w:hint="eastAsia"/>
                <w:color w:val="000000" w:themeColor="text1"/>
                <w:sz w:val="24"/>
              </w:rPr>
              <w:t>解决方案提供</w:t>
            </w:r>
            <w:r w:rsidR="00C218A7">
              <w:rPr>
                <w:rFonts w:ascii="宋体" w:hAnsi="宋体" w:cs="宋体" w:hint="eastAsia"/>
                <w:color w:val="000000" w:themeColor="text1"/>
                <w:sz w:val="24"/>
              </w:rPr>
              <w:t>能力、</w:t>
            </w:r>
            <w:r w:rsidR="00FC071C">
              <w:rPr>
                <w:rFonts w:ascii="宋体" w:hAnsi="宋体" w:cs="宋体" w:hint="eastAsia"/>
                <w:color w:val="000000" w:themeColor="text1"/>
                <w:sz w:val="24"/>
              </w:rPr>
              <w:t>良好的</w:t>
            </w:r>
            <w:r w:rsidR="00C218A7">
              <w:rPr>
                <w:rFonts w:ascii="宋体" w:hAnsi="宋体" w:cs="宋体" w:hint="eastAsia"/>
                <w:color w:val="000000" w:themeColor="text1"/>
                <w:sz w:val="24"/>
              </w:rPr>
              <w:t>市场口碑和</w:t>
            </w:r>
            <w:r w:rsidR="00FC071C">
              <w:rPr>
                <w:rFonts w:ascii="宋体" w:hAnsi="宋体" w:cs="宋体" w:hint="eastAsia"/>
                <w:color w:val="000000" w:themeColor="text1"/>
                <w:sz w:val="24"/>
              </w:rPr>
              <w:t>深厚的</w:t>
            </w:r>
            <w:r w:rsidR="00C218A7">
              <w:rPr>
                <w:rFonts w:ascii="宋体" w:hAnsi="宋体" w:cs="宋体" w:hint="eastAsia"/>
                <w:color w:val="000000" w:themeColor="text1"/>
                <w:sz w:val="24"/>
              </w:rPr>
              <w:t>客户资源</w:t>
            </w:r>
            <w:r w:rsidR="00117798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r w:rsidR="002C4079" w:rsidRPr="002C4079">
              <w:rPr>
                <w:rFonts w:ascii="宋体" w:hAnsi="宋体" w:cs="宋体" w:hint="eastAsia"/>
                <w:color w:val="000000" w:themeColor="text1"/>
                <w:sz w:val="24"/>
              </w:rPr>
              <w:t>公司</w:t>
            </w:r>
            <w:r w:rsidR="002C4079">
              <w:rPr>
                <w:rFonts w:ascii="宋体" w:hAnsi="宋体" w:cs="宋体" w:hint="eastAsia"/>
                <w:color w:val="000000" w:themeColor="text1"/>
                <w:sz w:val="24"/>
              </w:rPr>
              <w:t>未来将</w:t>
            </w:r>
            <w:r w:rsidR="002C4079" w:rsidRPr="002C4079">
              <w:rPr>
                <w:rFonts w:ascii="宋体" w:hAnsi="宋体" w:cs="宋体" w:hint="eastAsia"/>
                <w:color w:val="000000" w:themeColor="text1"/>
                <w:sz w:val="24"/>
              </w:rPr>
              <w:t>持续关注金融科技、IDC及云计算、LED照明行业的发展趋势</w:t>
            </w:r>
            <w:r w:rsidR="00944F9A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r w:rsidR="002C4079" w:rsidRPr="002C4079">
              <w:rPr>
                <w:rFonts w:ascii="宋体" w:hAnsi="宋体" w:cs="宋体" w:hint="eastAsia"/>
                <w:color w:val="000000" w:themeColor="text1"/>
                <w:sz w:val="24"/>
              </w:rPr>
              <w:t>促进传统业务优化升级、大力发展IDC及</w:t>
            </w:r>
            <w:proofErr w:type="gramStart"/>
            <w:r w:rsidR="002C4079" w:rsidRPr="002C4079">
              <w:rPr>
                <w:rFonts w:ascii="宋体" w:hAnsi="宋体" w:cs="宋体" w:hint="eastAsia"/>
                <w:color w:val="000000" w:themeColor="text1"/>
                <w:sz w:val="24"/>
              </w:rPr>
              <w:t>云计算</w:t>
            </w:r>
            <w:proofErr w:type="gramEnd"/>
            <w:r w:rsidR="002C4079" w:rsidRPr="002C4079">
              <w:rPr>
                <w:rFonts w:ascii="宋体" w:hAnsi="宋体" w:cs="宋体" w:hint="eastAsia"/>
                <w:color w:val="000000" w:themeColor="text1"/>
                <w:sz w:val="24"/>
              </w:rPr>
              <w:t>业务，稳健推动公司整体业务转型升级</w:t>
            </w:r>
            <w:r w:rsidR="00A12114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  <w:p w:rsidR="00DE507F" w:rsidRPr="008A1028" w:rsidRDefault="00775A0D" w:rsidP="00DE507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传统</w:t>
            </w:r>
            <w:r w:rsidR="002D5387">
              <w:rPr>
                <w:rFonts w:ascii="宋体" w:hAnsi="宋体" w:cs="宋体" w:hint="eastAsia"/>
                <w:color w:val="000000" w:themeColor="text1"/>
                <w:sz w:val="24"/>
              </w:rPr>
              <w:t>金融电子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业务方面，</w:t>
            </w:r>
            <w:r w:rsidR="00D34E4B">
              <w:rPr>
                <w:rFonts w:ascii="宋体" w:hAnsi="宋体" w:cs="宋体" w:hint="eastAsia"/>
                <w:color w:val="000000" w:themeColor="text1"/>
                <w:sz w:val="24"/>
              </w:rPr>
              <w:t>近年来，移动支付的兴起给银行业带来了一定的冲击，</w:t>
            </w:r>
            <w:r w:rsidR="00A60E44" w:rsidRPr="00A60E44">
              <w:rPr>
                <w:rFonts w:ascii="宋体" w:hAnsi="宋体" w:cs="宋体" w:hint="eastAsia"/>
                <w:color w:val="000000" w:themeColor="text1"/>
                <w:sz w:val="24"/>
              </w:rPr>
              <w:t>公司一方面探索开展为银行业务转型提供</w:t>
            </w:r>
            <w:r w:rsidR="000C6300">
              <w:rPr>
                <w:rFonts w:ascii="宋体" w:hAnsi="宋体" w:cs="宋体" w:hint="eastAsia"/>
                <w:color w:val="000000" w:themeColor="text1"/>
                <w:sz w:val="24"/>
              </w:rPr>
              <w:t>智慧柜员机、服务机器人等</w:t>
            </w:r>
            <w:r w:rsidR="00482008">
              <w:rPr>
                <w:rFonts w:ascii="宋体" w:hAnsi="宋体" w:cs="宋体" w:hint="eastAsia"/>
                <w:color w:val="000000" w:themeColor="text1"/>
                <w:sz w:val="24"/>
              </w:rPr>
              <w:t>新型</w:t>
            </w:r>
            <w:r w:rsidR="000C6300">
              <w:rPr>
                <w:rFonts w:ascii="宋体" w:hAnsi="宋体" w:cs="宋体" w:hint="eastAsia"/>
                <w:color w:val="000000" w:themeColor="text1"/>
                <w:sz w:val="24"/>
              </w:rPr>
              <w:t>硬件设施</w:t>
            </w:r>
            <w:r w:rsidR="0064360C">
              <w:rPr>
                <w:rFonts w:ascii="宋体" w:hAnsi="宋体" w:cs="宋体" w:hint="eastAsia"/>
                <w:color w:val="000000" w:themeColor="text1"/>
                <w:sz w:val="24"/>
              </w:rPr>
              <w:t>的相关业务</w:t>
            </w:r>
            <w:r w:rsidR="000C6300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r w:rsidR="00A60E44" w:rsidRPr="00A60E44">
              <w:rPr>
                <w:rFonts w:ascii="宋体" w:hAnsi="宋体" w:cs="宋体" w:hint="eastAsia"/>
                <w:color w:val="000000" w:themeColor="text1"/>
                <w:sz w:val="24"/>
              </w:rPr>
              <w:t>并在</w:t>
            </w:r>
            <w:r w:rsidR="00A60E4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银行网点及渠道转型升级提供</w:t>
            </w:r>
            <w:r w:rsidR="0068572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咨询服务和</w:t>
            </w:r>
            <w:r w:rsidR="00A60E4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信息</w:t>
            </w:r>
            <w:r w:rsidR="00EE2DB3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系统的整体解决方案；另一方面，</w:t>
            </w:r>
            <w:r w:rsidR="00A60E4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公司以自助服务终端、安全支付产品等硬件设备的研发、生产、销售为基础，</w:t>
            </w:r>
            <w:r w:rsidR="00F43D0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不断</w:t>
            </w:r>
            <w:r w:rsidR="00BF1903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响应市场新需求</w:t>
            </w:r>
            <w:r w:rsidR="00F43D0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开发新产品，并</w:t>
            </w:r>
            <w:r w:rsidR="0068572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将</w:t>
            </w:r>
            <w:r w:rsidR="00A60E4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业务领域逐步从银行业拓展到政务、第三方支付零售、充电桩、彩票、医疗、通信、税务、交通、地产、景区、院线、</w:t>
            </w:r>
            <w:proofErr w:type="gramStart"/>
            <w:r w:rsidR="00A60E4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酒旅等</w:t>
            </w:r>
            <w:proofErr w:type="gramEnd"/>
            <w:r w:rsidR="00A60E44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跟人们生活密切相关的服务等其他行业。</w:t>
            </w:r>
          </w:p>
          <w:p w:rsidR="005C5134" w:rsidRPr="008A1028" w:rsidRDefault="001D54D8" w:rsidP="001D54D8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IDC 及</w:t>
            </w:r>
            <w:proofErr w:type="gramStart"/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云计算</w:t>
            </w:r>
            <w:proofErr w:type="gramEnd"/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业务的拓展方面，</w:t>
            </w:r>
            <w:r w:rsidR="00F43D0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公司于2015年通过收购广州云硕科技发展有限公司70%股权进入到IDC领域</w:t>
            </w:r>
            <w:r w:rsidR="001B333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，随</w:t>
            </w:r>
            <w:r w:rsidR="0054283C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后</w:t>
            </w:r>
            <w:r w:rsidR="00FC221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收购了</w:t>
            </w:r>
            <w:hyperlink r:id="rId10" w:tgtFrame="_blank" w:history="1">
              <w:r w:rsidR="001B3336" w:rsidRPr="008A1028">
                <w:rPr>
                  <w:rFonts w:ascii="宋体" w:hAnsi="宋体" w:cs="宋体" w:hint="eastAsia"/>
                  <w:color w:val="000000" w:themeColor="text1"/>
                  <w:sz w:val="24"/>
                </w:rPr>
                <w:t>广东宏达通信有限公司</w:t>
              </w:r>
            </w:hyperlink>
            <w:r w:rsidR="0054283C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FC221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自建了深圳、长沙数据中心，</w:t>
            </w:r>
            <w:r w:rsidR="00384C8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在</w:t>
            </w:r>
            <w:r w:rsidR="00384C86" w:rsidRPr="008A1028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粤港澳大湾区和</w:t>
            </w:r>
            <w:proofErr w:type="gramStart"/>
            <w:r w:rsidR="00384C86" w:rsidRPr="008A1028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湘江环长株</w:t>
            </w:r>
            <w:proofErr w:type="gramEnd"/>
            <w:r w:rsidR="00384C86" w:rsidRPr="008A1028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潭城市群</w:t>
            </w:r>
            <w:r w:rsidR="00EB0D0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有前瞻性地进行了</w:t>
            </w:r>
            <w:r w:rsidR="00FC221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五大数据中心</w:t>
            </w:r>
            <w:r w:rsidR="00371577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布</w:t>
            </w:r>
            <w:r w:rsidR="00FC221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局。</w:t>
            </w:r>
            <w:r w:rsidR="00D10AB8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并建立</w:t>
            </w:r>
            <w:r w:rsidR="00AA6FF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了全方位的运维体系和专业的运维队伍</w:t>
            </w:r>
            <w:r w:rsidR="00384C8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，未来具有无限的市场空间</w:t>
            </w:r>
            <w:r w:rsidR="00AA6FF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  <w:p w:rsidR="00521ECA" w:rsidRPr="008A1028" w:rsidRDefault="005C5134" w:rsidP="001D54D8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与此同时，公司围绕IDC数据中心“存储和计算”两大功能。除通过机架租赁方式盈利外，</w:t>
            </w:r>
            <w:r w:rsidR="002D5381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还</w:t>
            </w:r>
            <w:r w:rsidR="009C15C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与</w:t>
            </w:r>
            <w:r w:rsidR="007D5EBC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湖南大学高校资源</w:t>
            </w:r>
            <w:r w:rsidR="009C15C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深度合作</w:t>
            </w:r>
            <w:r w:rsidR="007D5EBC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，组建云团队，</w:t>
            </w:r>
            <w:r w:rsidR="002D5381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充分</w:t>
            </w:r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挖掘数据中心的计算功能，以</w:t>
            </w:r>
            <w:proofErr w:type="gramStart"/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证通云</w:t>
            </w:r>
            <w:proofErr w:type="gramEnd"/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平台为业务基础和依托，开拓IDC+数字化运营、智慧厂区、智慧园区等服务应用市场，提升IDC的资产效益，获得增值服务和运营收益。</w:t>
            </w:r>
            <w:r w:rsidR="00772EA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</w:p>
          <w:p w:rsidR="000612B4" w:rsidRPr="008A1028" w:rsidRDefault="000612B4" w:rsidP="009D7A5B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 w:rsidRPr="008A1028">
              <w:rPr>
                <w:rFonts w:ascii="宋体" w:hAnsi="宋体" w:cs="宋体" w:hint="eastAsia"/>
                <w:color w:val="000000" w:themeColor="text1"/>
                <w:sz w:val="24"/>
              </w:rPr>
              <w:t>LED照明方面，</w:t>
            </w:r>
            <w:r w:rsidR="009C15C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目前业务</w:t>
            </w:r>
            <w:r w:rsidR="009D7A5B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开展方式</w:t>
            </w:r>
            <w:r w:rsidR="00002F8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以</w:t>
            </w:r>
            <w:r w:rsidR="009D7A5B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合同能源管理、城市道路照明及景观照明亮化工程</w:t>
            </w:r>
            <w:r w:rsidR="00002F8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为主</w:t>
            </w:r>
            <w:r w:rsidR="009D7A5B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r w:rsidR="007A2112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2018年</w:t>
            </w:r>
            <w:r w:rsidR="00002F8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公司成功获得“双甲”资质，成为全国为数不多的获得“双甲”资质的照明工程企业之一，</w:t>
            </w:r>
            <w:r w:rsidR="007A034E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为公司后续承接大型、高质量照明工程项目打下了基础。</w:t>
            </w:r>
            <w:r w:rsidR="00D0799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同时，</w:t>
            </w:r>
            <w:r w:rsidR="00AC60F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</w:t>
            </w:r>
            <w:r w:rsidR="00951A5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LED照明方面的资质和能力也与公司在IDC及</w:t>
            </w:r>
            <w:proofErr w:type="gramStart"/>
            <w:r w:rsidR="00951A5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云计算</w:t>
            </w:r>
            <w:proofErr w:type="gramEnd"/>
            <w:r w:rsidR="00951A5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服务能力有效协同，</w:t>
            </w:r>
            <w:r w:rsidR="00F520B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以“智慧灯杆”等形态</w:t>
            </w:r>
            <w:r w:rsidR="00951A5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支撑</w:t>
            </w:r>
            <w:r w:rsidR="00AC60F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智慧园区、</w:t>
            </w:r>
            <w:r w:rsidR="00951A5D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智慧城市</w:t>
            </w:r>
            <w:r w:rsidR="00F520B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服务应用及运营。</w:t>
            </w:r>
          </w:p>
          <w:p w:rsidR="00986F70" w:rsidRPr="008A1028" w:rsidRDefault="00C274A0" w:rsidP="002A3139">
            <w:pPr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 xml:space="preserve"> </w:t>
            </w:r>
            <w:r w:rsid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 xml:space="preserve">  </w:t>
            </w:r>
            <w:r w:rsidR="007A6394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问题</w:t>
            </w:r>
            <w:r w:rsidR="007A6394" w:rsidRPr="008A1028">
              <w:rPr>
                <w:rFonts w:ascii="宋体" w:hAnsi="宋体" w:cs="宋体"/>
                <w:b/>
                <w:color w:val="000000" w:themeColor="text1"/>
                <w:sz w:val="24"/>
              </w:rPr>
              <w:t>1</w:t>
            </w:r>
            <w:r w:rsidR="007A6394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：公司</w:t>
            </w:r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在IDC与</w:t>
            </w:r>
            <w:proofErr w:type="gramStart"/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云计算</w:t>
            </w:r>
            <w:proofErr w:type="gramEnd"/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业务方面的发展战略是什么</w:t>
            </w:r>
            <w:r w:rsidR="007A6394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？</w:t>
            </w:r>
          </w:p>
          <w:p w:rsidR="00401BF6" w:rsidRPr="008A1028" w:rsidRDefault="007A6394" w:rsidP="00401BF6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答：</w:t>
            </w:r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在</w:t>
            </w:r>
            <w:r w:rsidR="006D06CC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公司</w:t>
            </w:r>
            <w:r w:rsidR="002A313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已经布局的</w:t>
            </w:r>
            <w:r w:rsidR="00E7564B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五大IDC</w:t>
            </w:r>
            <w:proofErr w:type="gramStart"/>
            <w:r w:rsidR="00E7564B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数中心</w:t>
            </w:r>
            <w:proofErr w:type="gramEnd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基础上，以“IDC+生态”为发展战略，即以数据为核心驱动，以</w:t>
            </w:r>
            <w:proofErr w:type="gramStart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证通云</w:t>
            </w:r>
            <w:proofErr w:type="gramEnd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平台为业</w:t>
            </w:r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务依托，垂直布局</w:t>
            </w:r>
            <w:proofErr w:type="gramStart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云服务</w:t>
            </w:r>
            <w:proofErr w:type="gramEnd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产业链，融合智慧金融、</w:t>
            </w:r>
            <w:proofErr w:type="gramStart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云计算</w:t>
            </w:r>
            <w:proofErr w:type="gramEnd"/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及智慧城市、智慧园区、智慧照明等多元化解决方案，</w:t>
            </w:r>
            <w:r w:rsidR="00C9254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在业务布局方面</w:t>
            </w:r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深度布局</w:t>
            </w:r>
            <w:r w:rsidR="00C9254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粤港澳</w:t>
            </w:r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大湾区</w:t>
            </w:r>
            <w:r w:rsidR="00C9254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和中部地区</w:t>
            </w:r>
            <w:r w:rsidR="00BF3460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，加快推进建设中的IDC全面投产</w:t>
            </w:r>
            <w:r w:rsidR="00022F3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C92546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同时</w:t>
            </w:r>
            <w:r w:rsidR="00022F3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发展云计算、在智慧城市、智慧园区业务拓展新空间。</w:t>
            </w:r>
          </w:p>
          <w:p w:rsidR="00640951" w:rsidRPr="008A1028" w:rsidRDefault="00640951" w:rsidP="008A1028">
            <w:pPr>
              <w:spacing w:line="360" w:lineRule="auto"/>
              <w:ind w:firstLineChars="200" w:firstLine="482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问题2：</w:t>
            </w:r>
            <w:proofErr w:type="gramStart"/>
            <w:r w:rsidR="00B9639F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证通云产品</w:t>
            </w:r>
            <w:proofErr w:type="gramEnd"/>
            <w:r w:rsidR="00B9639F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体系</w:t>
            </w:r>
            <w:r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和服务能力：</w:t>
            </w:r>
          </w:p>
          <w:p w:rsidR="00A5180E" w:rsidRPr="008A1028" w:rsidRDefault="00A5180E" w:rsidP="00BC63D5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证通云产品</w:t>
            </w:r>
            <w:proofErr w:type="gramEnd"/>
            <w:r w:rsidR="007D4A33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体系</w:t>
            </w:r>
            <w:r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包含</w:t>
            </w:r>
            <w:r w:rsidR="00BC09BE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云管、云</w:t>
            </w:r>
            <w:proofErr w:type="gramStart"/>
            <w:r w:rsidR="00BC09BE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栈</w:t>
            </w:r>
            <w:proofErr w:type="gramEnd"/>
            <w:r w:rsidR="00BC09BE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、云台、云池</w:t>
            </w:r>
            <w:r w:rsidR="007D4A33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、云数、云固、</w:t>
            </w:r>
            <w:proofErr w:type="gramStart"/>
            <w:r w:rsidR="007D4A33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云监</w:t>
            </w:r>
            <w:r w:rsidR="00640DFB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七</w:t>
            </w:r>
            <w:proofErr w:type="gramEnd"/>
            <w:r w:rsidR="00640DFB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大产品</w:t>
            </w:r>
            <w:r w:rsidR="00CF2DB7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，</w:t>
            </w:r>
            <w:proofErr w:type="gramStart"/>
            <w:r w:rsidR="0040537F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立足于证通电</w:t>
            </w:r>
            <w:proofErr w:type="gramEnd"/>
            <w:r w:rsidR="0040537F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子IDC数据中心，提供云主机、云存储、云安全、</w:t>
            </w:r>
            <w:proofErr w:type="gramStart"/>
            <w:r w:rsidR="0040537F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云灾备等</w:t>
            </w:r>
            <w:proofErr w:type="gramEnd"/>
            <w:r w:rsidR="0040537F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基础设施服务平台和行业解决方案。为IDC数据中心, 金融、政务等行业用户提供安全可靠、性能卓越、按需、实时的IAAS&amp;PAAS平台。</w:t>
            </w:r>
            <w:proofErr w:type="gramStart"/>
            <w:r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证通云产品</w:t>
            </w:r>
            <w:proofErr w:type="gramEnd"/>
            <w:r w:rsidR="00A16409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拥有相关软件著作权10余项，</w:t>
            </w:r>
            <w:r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于2018年成功获得工信部可信云认证、中国软件行业协会软件产品认证</w:t>
            </w:r>
            <w:r w:rsidR="00A16409" w:rsidRPr="008A1028">
              <w:rPr>
                <w:rFonts w:ascii="宋体" w:hAnsi="宋体" w:hint="eastAsia"/>
                <w:bCs/>
                <w:color w:val="000000" w:themeColor="text1"/>
                <w:sz w:val="24"/>
              </w:rPr>
              <w:t>。</w:t>
            </w:r>
            <w:r w:rsidR="00A16409" w:rsidRPr="008A1028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  <w:p w:rsidR="00FF2D16" w:rsidRPr="008A1028" w:rsidRDefault="001F04DC" w:rsidP="00BC63D5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公司有掌握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和大数据智能的核心技术的研发团队，</w:t>
            </w:r>
            <w:proofErr w:type="gramStart"/>
            <w:r w:rsidR="00CF2DB7" w:rsidRPr="008A1028">
              <w:rPr>
                <w:rFonts w:ascii="宋体" w:hAnsi="宋体" w:hint="eastAsia"/>
                <w:color w:val="000000" w:themeColor="text1"/>
                <w:sz w:val="24"/>
              </w:rPr>
              <w:t>证通云团</w:t>
            </w:r>
            <w:proofErr w:type="gramEnd"/>
            <w:r w:rsidR="00CF2DB7" w:rsidRPr="008A1028">
              <w:rPr>
                <w:rFonts w:ascii="宋体" w:hAnsi="宋体" w:hint="eastAsia"/>
                <w:color w:val="000000" w:themeColor="text1"/>
                <w:sz w:val="24"/>
              </w:rPr>
              <w:t>队在全球</w:t>
            </w:r>
            <w:proofErr w:type="gramStart"/>
            <w:r w:rsidR="00CF2DB7" w:rsidRPr="008A1028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="00CF2DB7" w:rsidRPr="008A1028">
              <w:rPr>
                <w:rFonts w:ascii="宋体" w:hAnsi="宋体" w:hint="eastAsia"/>
                <w:color w:val="000000" w:themeColor="text1"/>
                <w:sz w:val="24"/>
              </w:rPr>
              <w:t>开源平台OpenStack的贡献者名单中名列前茅，有力地证明了其技术实力。</w:t>
            </w:r>
            <w:r w:rsidRPr="008A1028">
              <w:rPr>
                <w:rFonts w:ascii="宋体" w:hAnsi="宋体"/>
                <w:color w:val="000000" w:themeColor="text1"/>
                <w:sz w:val="24"/>
              </w:rPr>
              <w:t>团队</w:t>
            </w: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建立了从IDC运营、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资源池、大数据处理分析挖掘到新一代人工智能的全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栈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自主研发能力。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证通云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平台已基本具备了从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IaaS、PaaS到SaaS层的核心能力，并通过升级并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拓展证通云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资源池和云存储等软件产品，提升了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证通云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在数据安全、服务质量、服务性能、运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维管理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和权益保障等多个维度的技术实力。</w:t>
            </w:r>
          </w:p>
          <w:p w:rsidR="00AA2427" w:rsidRPr="008A1028" w:rsidRDefault="002D6F8A" w:rsidP="00F13AFC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目前已落地的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云产品</w:t>
            </w:r>
            <w:proofErr w:type="gramEnd"/>
            <w:r w:rsidR="00F043EF" w:rsidRPr="008A1028">
              <w:rPr>
                <w:rFonts w:ascii="宋体" w:hAnsi="宋体" w:hint="eastAsia"/>
                <w:color w:val="000000" w:themeColor="text1"/>
                <w:sz w:val="24"/>
              </w:rPr>
              <w:t>案例包括人民日报媒体云、</w:t>
            </w:r>
            <w:r w:rsidR="00CF7A39" w:rsidRPr="008A1028">
              <w:rPr>
                <w:rFonts w:ascii="宋体" w:hAnsi="宋体" w:hint="eastAsia"/>
                <w:color w:val="000000" w:themeColor="text1"/>
                <w:sz w:val="24"/>
              </w:rPr>
              <w:t>望城经开区智慧城市资源池</w:t>
            </w:r>
            <w:r w:rsidR="00CC5080">
              <w:rPr>
                <w:rFonts w:ascii="宋体" w:hAnsi="宋体" w:hint="eastAsia"/>
                <w:color w:val="000000" w:themeColor="text1"/>
                <w:sz w:val="24"/>
              </w:rPr>
              <w:t>项目</w:t>
            </w:r>
            <w:r w:rsidR="00CF7A39" w:rsidRPr="008A1028">
              <w:rPr>
                <w:rFonts w:ascii="宋体" w:hAnsi="宋体" w:hint="eastAsia"/>
                <w:color w:val="000000" w:themeColor="text1"/>
                <w:sz w:val="24"/>
              </w:rPr>
              <w:t>等</w:t>
            </w:r>
            <w:r w:rsidR="00B52D33" w:rsidRPr="008A1028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BF3460" w:rsidRPr="008A1028" w:rsidRDefault="007A6394" w:rsidP="008A1028">
            <w:pPr>
              <w:spacing w:line="360" w:lineRule="auto"/>
              <w:ind w:firstLineChars="200" w:firstLine="482"/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问题</w:t>
            </w:r>
            <w:r w:rsidR="00F70EE2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3</w:t>
            </w:r>
            <w:r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：</w:t>
            </w:r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请介绍</w:t>
            </w:r>
            <w:proofErr w:type="gramStart"/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一下五</w:t>
            </w:r>
            <w:proofErr w:type="gramEnd"/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大数据中心的建设及</w:t>
            </w:r>
            <w:r w:rsidR="000778B9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运营情况</w:t>
            </w:r>
            <w:r w:rsidR="00BF3460" w:rsidRPr="008A1028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如何？</w:t>
            </w:r>
          </w:p>
          <w:p w:rsidR="00AA6DCE" w:rsidRPr="008A1028" w:rsidRDefault="00E50517" w:rsidP="00096463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答：</w:t>
            </w:r>
            <w:r w:rsidR="000778B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公司</w:t>
            </w:r>
            <w:r w:rsidR="005D5C5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的五大数据中心分别在</w:t>
            </w:r>
            <w:r w:rsidR="00DD12AE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深圳光明、广州南沙、东莞石碣、东莞旗峰、长沙</w:t>
            </w:r>
            <w:r w:rsidR="005D5C5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，</w:t>
            </w:r>
            <w:r w:rsidR="000778B9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形成规模化的IDC网络、分别处于粤港澳大湾区和中部地区，区域联动性强。</w:t>
            </w:r>
            <w:r w:rsidR="00155B9A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目前五大数据中心的建设和运营</w:t>
            </w:r>
            <w:r w:rsidR="00096463" w:rsidRPr="008A1028">
              <w:rPr>
                <w:rFonts w:ascii="宋体" w:hAnsi="宋体" w:cs="宋体" w:hint="eastAsia"/>
                <w:color w:val="000000" w:themeColor="text1"/>
                <w:sz w:val="24"/>
              </w:rPr>
              <w:t>情况如下：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（1）深圳光明云</w:t>
            </w:r>
            <w:proofErr w:type="gramStart"/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谷数据</w:t>
            </w:r>
            <w:proofErr w:type="gramEnd"/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中心：</w:t>
            </w:r>
            <w:r w:rsidR="00096463" w:rsidRPr="008A1028">
              <w:rPr>
                <w:rFonts w:ascii="宋体" w:hAnsi="宋体" w:hint="eastAsia"/>
                <w:color w:val="000000" w:themeColor="text1"/>
                <w:sz w:val="24"/>
              </w:rPr>
              <w:t>拥有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机架</w:t>
            </w:r>
            <w:r w:rsidR="00CC5080">
              <w:rPr>
                <w:rFonts w:ascii="宋体" w:hAnsi="宋体" w:hint="eastAsia"/>
                <w:color w:val="000000" w:themeColor="text1"/>
                <w:sz w:val="24"/>
              </w:rPr>
              <w:t>约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1450个，</w:t>
            </w:r>
            <w:r w:rsidR="00792BFD" w:rsidRPr="008A1028">
              <w:rPr>
                <w:rFonts w:ascii="宋体" w:hAnsi="宋体" w:hint="eastAsia"/>
                <w:color w:val="000000" w:themeColor="text1"/>
                <w:sz w:val="24"/>
              </w:rPr>
              <w:t>目前</w:t>
            </w:r>
            <w:r w:rsidR="00016E01" w:rsidRPr="008A1028">
              <w:rPr>
                <w:rFonts w:ascii="宋体" w:hAnsi="宋体" w:hint="eastAsia"/>
                <w:color w:val="000000" w:themeColor="text1"/>
                <w:sz w:val="24"/>
              </w:rPr>
              <w:t>已</w:t>
            </w:r>
            <w:r w:rsidR="0036017A" w:rsidRPr="008A1028">
              <w:rPr>
                <w:rFonts w:ascii="宋体" w:hAnsi="宋体" w:hint="eastAsia"/>
                <w:color w:val="000000" w:themeColor="text1"/>
                <w:sz w:val="24"/>
              </w:rPr>
              <w:t>建设完成、与客户签订合同</w:t>
            </w:r>
            <w:r w:rsidR="00016E01" w:rsidRPr="008A1028">
              <w:rPr>
                <w:rFonts w:ascii="宋体" w:hAnsi="宋体" w:hint="eastAsia"/>
                <w:color w:val="000000" w:themeColor="text1"/>
                <w:sz w:val="24"/>
              </w:rPr>
              <w:t>并</w:t>
            </w:r>
            <w:r w:rsidR="00792BFD" w:rsidRPr="008A1028">
              <w:rPr>
                <w:rFonts w:ascii="宋体" w:hAnsi="宋体" w:hint="eastAsia"/>
                <w:color w:val="000000" w:themeColor="text1"/>
                <w:sz w:val="24"/>
              </w:rPr>
              <w:t>陆续上架，</w:t>
            </w:r>
            <w:r w:rsidR="00B46978" w:rsidRPr="008A1028">
              <w:rPr>
                <w:rFonts w:ascii="宋体" w:hAnsi="宋体" w:hint="eastAsia"/>
                <w:color w:val="000000" w:themeColor="text1"/>
                <w:sz w:val="24"/>
              </w:rPr>
              <w:t>是深圳地区少有的高等级、高规格</w:t>
            </w:r>
            <w:proofErr w:type="gramStart"/>
            <w:r w:rsidR="00B46978" w:rsidRPr="008A1028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="00B46978" w:rsidRPr="008A1028">
              <w:rPr>
                <w:rFonts w:ascii="宋体" w:hAnsi="宋体" w:hint="eastAsia"/>
                <w:color w:val="000000" w:themeColor="text1"/>
                <w:sz w:val="24"/>
              </w:rPr>
              <w:t>数据中心之一，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是当前政策而严控一线城市新建数据中心的背景下，运营商和银行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客户的稀缺资源。（2）广州南沙云谷数据中心：已投建机架3680个，</w:t>
            </w:r>
            <w:r w:rsidR="0022191F" w:rsidRPr="008A1028">
              <w:rPr>
                <w:rFonts w:ascii="宋体" w:hAnsi="宋体" w:hint="eastAsia"/>
                <w:color w:val="000000" w:themeColor="text1"/>
                <w:sz w:val="24"/>
              </w:rPr>
              <w:t>是华南地区单体最大的数据中心，</w:t>
            </w:r>
            <w:r w:rsidR="005218F3" w:rsidRPr="008A1028">
              <w:rPr>
                <w:rFonts w:ascii="宋体" w:hAnsi="宋体" w:hint="eastAsia"/>
                <w:color w:val="000000" w:themeColor="text1"/>
                <w:sz w:val="24"/>
              </w:rPr>
              <w:t>目前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上架率</w:t>
            </w:r>
            <w:r w:rsidR="0022191F" w:rsidRPr="008A1028">
              <w:rPr>
                <w:rFonts w:ascii="宋体" w:hAnsi="宋体" w:hint="eastAsia"/>
                <w:color w:val="000000" w:themeColor="text1"/>
                <w:sz w:val="24"/>
              </w:rPr>
              <w:t>已达到</w:t>
            </w:r>
            <w:r w:rsidR="00016E01" w:rsidRPr="008A1028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  <w:r w:rsidR="0022191F" w:rsidRPr="008A1028">
              <w:rPr>
                <w:rFonts w:ascii="宋体" w:hAnsi="宋体" w:hint="eastAsia"/>
                <w:color w:val="000000" w:themeColor="text1"/>
                <w:sz w:val="24"/>
              </w:rPr>
              <w:t>0%</w:t>
            </w:r>
            <w:r w:rsidR="00016E01" w:rsidRPr="008A1028">
              <w:rPr>
                <w:rFonts w:ascii="宋体" w:hAnsi="宋体" w:hint="eastAsia"/>
                <w:color w:val="000000" w:themeColor="text1"/>
                <w:sz w:val="24"/>
              </w:rPr>
              <w:t>以上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；（3）东莞旗峰数据中心：该项目是东莞市的重大项目，</w:t>
            </w:r>
            <w:r w:rsidR="009D614C" w:rsidRPr="008A1028">
              <w:rPr>
                <w:rFonts w:ascii="宋体" w:hAnsi="宋体" w:hint="eastAsia"/>
                <w:color w:val="000000" w:themeColor="text1"/>
                <w:sz w:val="24"/>
              </w:rPr>
              <w:t>可容纳</w:t>
            </w:r>
            <w:r w:rsidR="00CC5080">
              <w:rPr>
                <w:rFonts w:ascii="宋体" w:hAnsi="宋体" w:hint="eastAsia"/>
                <w:color w:val="000000" w:themeColor="text1"/>
                <w:sz w:val="24"/>
              </w:rPr>
              <w:t>约</w:t>
            </w:r>
            <w:r w:rsidR="009D614C" w:rsidRPr="008A1028">
              <w:rPr>
                <w:rFonts w:ascii="宋体" w:hAnsi="宋体" w:hint="eastAsia"/>
                <w:color w:val="000000" w:themeColor="text1"/>
                <w:sz w:val="24"/>
              </w:rPr>
              <w:t>4500个机架，</w:t>
            </w:r>
            <w:r w:rsidR="00C369A2" w:rsidRPr="008A1028">
              <w:rPr>
                <w:rFonts w:ascii="宋体" w:hAnsi="宋体" w:hint="eastAsia"/>
                <w:color w:val="000000" w:themeColor="text1"/>
                <w:sz w:val="24"/>
              </w:rPr>
              <w:t>目前正在投资建设中；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（4）东莞石碣数据中心：</w:t>
            </w:r>
            <w:r w:rsidR="00792BFD" w:rsidRPr="008A1028">
              <w:rPr>
                <w:rFonts w:ascii="宋体" w:hAnsi="宋体" w:hint="eastAsia"/>
                <w:color w:val="000000" w:themeColor="text1"/>
                <w:sz w:val="24"/>
              </w:rPr>
              <w:t>该数据中心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是与中国电信合建的五星级数据中心，</w:t>
            </w:r>
            <w:r w:rsidR="00C369A2" w:rsidRPr="008A1028">
              <w:rPr>
                <w:rFonts w:ascii="宋体" w:hAnsi="宋体" w:hint="eastAsia"/>
                <w:color w:val="000000" w:themeColor="text1"/>
                <w:sz w:val="24"/>
              </w:rPr>
              <w:t>拥有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机柜</w:t>
            </w:r>
            <w:r w:rsidR="00C369A2" w:rsidRPr="008A1028">
              <w:rPr>
                <w:rFonts w:ascii="宋体" w:hAnsi="宋体" w:hint="eastAsia"/>
                <w:color w:val="000000" w:themeColor="text1"/>
                <w:sz w:val="24"/>
              </w:rPr>
              <w:t>约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930个</w:t>
            </w:r>
            <w:r w:rsidR="00C369A2" w:rsidRPr="008A1028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（5）长沙云谷数据中心</w:t>
            </w:r>
            <w:r w:rsidR="000A1CCA" w:rsidRPr="008A1028"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  <w:bookmarkStart w:id="0" w:name="_GoBack"/>
            <w:bookmarkEnd w:id="0"/>
            <w:r w:rsidR="00EF0B4A">
              <w:rPr>
                <w:rFonts w:ascii="宋体" w:hAnsi="宋体" w:hint="eastAsia"/>
                <w:color w:val="000000" w:themeColor="text1"/>
                <w:sz w:val="24"/>
              </w:rPr>
              <w:t>规划机架约2850个，</w:t>
            </w:r>
            <w:r w:rsidR="00A860D9">
              <w:rPr>
                <w:rFonts w:ascii="宋体" w:hAnsi="宋体" w:hint="eastAsia"/>
                <w:color w:val="000000" w:themeColor="text1"/>
                <w:sz w:val="24"/>
              </w:rPr>
              <w:t>后续可扩容至约</w:t>
            </w:r>
            <w:r w:rsidR="00BB0BB8">
              <w:rPr>
                <w:rFonts w:ascii="宋体" w:hAnsi="宋体" w:hint="eastAsia"/>
                <w:color w:val="000000" w:themeColor="text1"/>
                <w:sz w:val="24"/>
              </w:rPr>
              <w:t>17000</w:t>
            </w:r>
            <w:r w:rsidR="00A860D9">
              <w:rPr>
                <w:rFonts w:ascii="宋体" w:hAnsi="宋体" w:hint="eastAsia"/>
                <w:color w:val="000000" w:themeColor="text1"/>
                <w:sz w:val="24"/>
              </w:rPr>
              <w:t>个，</w:t>
            </w:r>
            <w:r w:rsidR="00505DCD" w:rsidRPr="008A1028">
              <w:rPr>
                <w:rFonts w:ascii="宋体" w:hAnsi="宋体"/>
                <w:color w:val="000000" w:themeColor="text1"/>
                <w:sz w:val="24"/>
              </w:rPr>
              <w:t>其中</w:t>
            </w:r>
            <w:r w:rsidR="00505DCD" w:rsidRPr="008A1028">
              <w:rPr>
                <w:rFonts w:ascii="宋体" w:hAnsi="宋体" w:hint="eastAsia"/>
                <w:color w:val="000000" w:themeColor="text1"/>
                <w:sz w:val="24"/>
              </w:rPr>
              <w:t>1号数据中心已完成基础设施及</w:t>
            </w:r>
            <w:r w:rsidR="00CC5080">
              <w:rPr>
                <w:rFonts w:ascii="宋体" w:hAnsi="宋体" w:hint="eastAsia"/>
                <w:color w:val="000000" w:themeColor="text1"/>
                <w:sz w:val="24"/>
              </w:rPr>
              <w:t>约1350</w:t>
            </w:r>
            <w:r w:rsidR="00505DCD" w:rsidRPr="008A1028">
              <w:rPr>
                <w:rFonts w:ascii="宋体" w:hAnsi="宋体" w:hint="eastAsia"/>
                <w:color w:val="000000" w:themeColor="text1"/>
                <w:sz w:val="24"/>
              </w:rPr>
              <w:t>个机架的建设，目前正在陆续上架中</w:t>
            </w:r>
            <w:r w:rsidR="00A85B06" w:rsidRPr="008A1028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="00BC5B90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="00A85B06" w:rsidRPr="008A1028">
              <w:rPr>
                <w:rFonts w:ascii="宋体" w:hAnsi="宋体" w:hint="eastAsia"/>
                <w:color w:val="000000" w:themeColor="text1"/>
                <w:sz w:val="24"/>
              </w:rPr>
              <w:t>号数据中心</w:t>
            </w:r>
            <w:r w:rsidR="00030947" w:rsidRPr="008A1028">
              <w:rPr>
                <w:rFonts w:ascii="宋体" w:hAnsi="宋体" w:hint="eastAsia"/>
                <w:color w:val="000000" w:themeColor="text1"/>
                <w:sz w:val="24"/>
              </w:rPr>
              <w:t>规划机架数</w:t>
            </w:r>
            <w:r w:rsidR="00CC5080">
              <w:rPr>
                <w:rFonts w:ascii="宋体" w:hAnsi="宋体" w:hint="eastAsia"/>
                <w:color w:val="000000" w:themeColor="text1"/>
                <w:sz w:val="24"/>
              </w:rPr>
              <w:t>约</w:t>
            </w:r>
            <w:r w:rsidR="00030947" w:rsidRPr="008A1028">
              <w:rPr>
                <w:rFonts w:ascii="宋体" w:hAnsi="宋体" w:hint="eastAsia"/>
                <w:color w:val="000000" w:themeColor="text1"/>
                <w:sz w:val="24"/>
              </w:rPr>
              <w:t>1500个，目前已</w:t>
            </w:r>
            <w:r w:rsidR="00A85B06" w:rsidRPr="008A1028">
              <w:rPr>
                <w:rFonts w:ascii="宋体" w:hAnsi="宋体" w:hint="eastAsia"/>
                <w:color w:val="000000" w:themeColor="text1"/>
                <w:sz w:val="24"/>
              </w:rPr>
              <w:t>完成基础设施建设并与湖南移动签约，机架的建设和交付事项</w:t>
            </w:r>
            <w:r w:rsidR="00030947" w:rsidRPr="008A1028">
              <w:rPr>
                <w:rFonts w:ascii="宋体" w:hAnsi="宋体" w:hint="eastAsia"/>
                <w:color w:val="000000" w:themeColor="text1"/>
                <w:sz w:val="24"/>
              </w:rPr>
              <w:t>目前正在推进中</w:t>
            </w:r>
            <w:r w:rsidR="00AA6DCE" w:rsidRPr="008A1028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6138F6" w:rsidRPr="008A1028" w:rsidRDefault="006138F6" w:rsidP="006138F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公司</w:t>
            </w:r>
            <w:r w:rsidR="006C478D" w:rsidRPr="008A1028">
              <w:rPr>
                <w:rFonts w:ascii="宋体" w:hAnsi="宋体" w:hint="eastAsia"/>
                <w:color w:val="000000" w:themeColor="text1"/>
                <w:sz w:val="24"/>
              </w:rPr>
              <w:t>现阶段</w:t>
            </w:r>
            <w:r w:rsidR="000B2377" w:rsidRPr="008A1028">
              <w:rPr>
                <w:rFonts w:ascii="宋体" w:hAnsi="宋体" w:hint="eastAsia"/>
                <w:color w:val="000000" w:themeColor="text1"/>
                <w:sz w:val="24"/>
              </w:rPr>
              <w:t>全力推进数据中心</w:t>
            </w: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的建设工作，加速数据中心订单效益的释放；在盘活公司IDC数据中心优质资源的基础上，积极、健康地探索IDC+增值业务，重点通过IDC+业务和智慧城市、智慧园区项目，提升IDC及</w:t>
            </w:r>
            <w:proofErr w:type="gramStart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业务的盈利能力。</w:t>
            </w:r>
          </w:p>
          <w:p w:rsidR="00880BBB" w:rsidRPr="008A1028" w:rsidRDefault="00E63048" w:rsidP="00D11ED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8A1028">
              <w:rPr>
                <w:rFonts w:ascii="宋体" w:hAnsi="宋体" w:hint="eastAsia"/>
                <w:color w:val="000000" w:themeColor="text1"/>
                <w:sz w:val="24"/>
              </w:rPr>
              <w:t>目前公司IDC+业务主要包括数字化运营、智慧厂区、智慧园区</w:t>
            </w:r>
            <w:r w:rsidR="00D11ED6" w:rsidRPr="008A1028">
              <w:rPr>
                <w:rFonts w:ascii="宋体" w:hAnsi="宋体" w:hint="eastAsia"/>
                <w:color w:val="000000" w:themeColor="text1"/>
                <w:sz w:val="24"/>
              </w:rPr>
              <w:t>、智慧城市等类型，</w:t>
            </w:r>
            <w:r w:rsidR="00AA0129" w:rsidRPr="008A1028">
              <w:rPr>
                <w:rFonts w:ascii="宋体" w:hAnsi="宋体" w:hint="eastAsia"/>
                <w:color w:val="000000" w:themeColor="text1"/>
                <w:sz w:val="24"/>
              </w:rPr>
              <w:t>已成功落地的有长沙望城经开区智慧园区项目，</w:t>
            </w:r>
            <w:r w:rsidR="00D11ED6" w:rsidRPr="008A1028">
              <w:rPr>
                <w:rFonts w:ascii="宋体" w:hAnsi="宋体" w:hint="eastAsia"/>
                <w:color w:val="000000" w:themeColor="text1"/>
                <w:sz w:val="24"/>
              </w:rPr>
              <w:t>就长沙而言，已有望城经开区的成功案例，</w:t>
            </w:r>
            <w:r w:rsidR="00820FD1" w:rsidRPr="008A1028">
              <w:rPr>
                <w:rFonts w:ascii="宋体" w:hAnsi="宋体" w:hint="eastAsia"/>
                <w:color w:val="000000" w:themeColor="text1"/>
                <w:sz w:val="24"/>
              </w:rPr>
              <w:t>望城经开区</w:t>
            </w:r>
            <w:r w:rsidR="0040537F" w:rsidRPr="008A1028">
              <w:rPr>
                <w:rFonts w:ascii="宋体" w:hAnsi="宋体" w:hint="eastAsia"/>
                <w:color w:val="000000" w:themeColor="text1"/>
                <w:sz w:val="24"/>
              </w:rPr>
              <w:t>智慧园区建设</w:t>
            </w:r>
            <w:r w:rsidR="00820FD1" w:rsidRPr="008A1028">
              <w:rPr>
                <w:rFonts w:ascii="宋体" w:hAnsi="宋体" w:hint="eastAsia"/>
                <w:color w:val="000000" w:themeColor="text1"/>
                <w:sz w:val="24"/>
              </w:rPr>
              <w:t>项目</w:t>
            </w:r>
            <w:r w:rsidR="0040537F" w:rsidRPr="008A1028">
              <w:rPr>
                <w:rFonts w:ascii="宋体" w:hAnsi="宋体" w:hint="eastAsia"/>
                <w:color w:val="000000" w:themeColor="text1"/>
                <w:sz w:val="24"/>
              </w:rPr>
              <w:t>一期</w:t>
            </w:r>
            <w:r w:rsidR="003F084C" w:rsidRPr="008A1028">
              <w:rPr>
                <w:rFonts w:ascii="宋体" w:hAnsi="宋体" w:hint="eastAsia"/>
                <w:color w:val="000000" w:themeColor="text1"/>
                <w:sz w:val="24"/>
              </w:rPr>
              <w:t>目前已经</w:t>
            </w:r>
            <w:r w:rsidR="0040537F" w:rsidRPr="008A1028">
              <w:rPr>
                <w:rFonts w:ascii="宋体" w:hAnsi="宋体" w:hint="eastAsia"/>
                <w:color w:val="000000" w:themeColor="text1"/>
                <w:sz w:val="24"/>
              </w:rPr>
              <w:t>完成了政务云平台、业务应用系统、指挥中心、运营中心和数据中心的搭建。</w:t>
            </w:r>
          </w:p>
          <w:p w:rsidR="00FA1F03" w:rsidRDefault="007A6394" w:rsidP="008A1028">
            <w:pPr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A1028">
              <w:rPr>
                <w:rFonts w:ascii="宋体" w:hAnsi="宋体" w:hint="eastAsia"/>
                <w:b/>
                <w:color w:val="000000" w:themeColor="text1"/>
                <w:sz w:val="24"/>
              </w:rPr>
              <w:t>问题</w:t>
            </w:r>
            <w:r w:rsidRPr="008A1028">
              <w:rPr>
                <w:rFonts w:ascii="宋体" w:hAnsi="宋体"/>
                <w:b/>
                <w:color w:val="000000" w:themeColor="text1"/>
                <w:sz w:val="24"/>
              </w:rPr>
              <w:t>4:</w:t>
            </w:r>
            <w:r w:rsidR="00FA1F03" w:rsidRPr="008A1028">
              <w:rPr>
                <w:rFonts w:ascii="宋体" w:hAnsi="宋体"/>
                <w:b/>
                <w:color w:val="000000" w:themeColor="text1"/>
                <w:sz w:val="24"/>
              </w:rPr>
              <w:t>公司是否有收购</w:t>
            </w:r>
            <w:r w:rsidR="00FA1F03" w:rsidRPr="008A1028">
              <w:rPr>
                <w:rFonts w:ascii="宋体" w:hAnsi="宋体" w:hint="eastAsia"/>
                <w:b/>
                <w:color w:val="000000" w:themeColor="text1"/>
                <w:sz w:val="24"/>
              </w:rPr>
              <w:t>ID</w:t>
            </w:r>
            <w:r w:rsidR="00FA1F03" w:rsidRPr="00FA1F03"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  <w:r w:rsidR="00F50E2A">
              <w:rPr>
                <w:rFonts w:ascii="宋体" w:hAnsi="宋体" w:hint="eastAsia"/>
                <w:b/>
                <w:color w:val="000000" w:themeColor="text1"/>
                <w:sz w:val="24"/>
              </w:rPr>
              <w:t>数据中心</w:t>
            </w:r>
            <w:r w:rsidR="00FA1F03" w:rsidRPr="00FA1F03">
              <w:rPr>
                <w:rFonts w:ascii="宋体" w:hAnsi="宋体" w:hint="eastAsia"/>
                <w:b/>
                <w:color w:val="000000" w:themeColor="text1"/>
                <w:sz w:val="24"/>
              </w:rPr>
              <w:t>的计划</w:t>
            </w:r>
          </w:p>
          <w:p w:rsidR="00FA1F03" w:rsidRPr="00FA1F03" w:rsidRDefault="007A6394" w:rsidP="00FA1F03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答：</w:t>
            </w:r>
            <w:r w:rsidR="00293AA2">
              <w:rPr>
                <w:rFonts w:ascii="宋体" w:hAnsi="宋体" w:hint="eastAsia"/>
                <w:color w:val="000000" w:themeColor="text1"/>
                <w:sz w:val="24"/>
              </w:rPr>
              <w:t>公司暂无收购计划，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一方面，在当前核心城市IDC数据中心建设逐步收紧的背景下，市场上</w:t>
            </w:r>
            <w:r w:rsidR="006D1806">
              <w:rPr>
                <w:rFonts w:ascii="宋体" w:hAnsi="宋体" w:hint="eastAsia"/>
                <w:color w:val="000000" w:themeColor="text1"/>
                <w:sz w:val="24"/>
              </w:rPr>
              <w:t>可收购的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优质项目不多；另一方面，公司已有的五大数据中心是公司的重资产所在，而且现有数据中心预留了充足的扩容空间，未来</w:t>
            </w:r>
            <w:r w:rsidR="00A743FE">
              <w:rPr>
                <w:rFonts w:ascii="宋体" w:hAnsi="宋体" w:hint="eastAsia"/>
                <w:color w:val="000000" w:themeColor="text1"/>
                <w:sz w:val="24"/>
              </w:rPr>
              <w:t>最多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可容纳机架规模可达</w:t>
            </w:r>
            <w:r w:rsidR="004F1884">
              <w:rPr>
                <w:rFonts w:ascii="宋体" w:hAnsi="宋体" w:hint="eastAsia"/>
                <w:color w:val="000000" w:themeColor="text1"/>
                <w:sz w:val="24"/>
              </w:rPr>
              <w:t>约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  <w:r w:rsidR="00F50E2A">
              <w:rPr>
                <w:rFonts w:ascii="宋体" w:hAnsi="宋体" w:hint="eastAsia"/>
                <w:color w:val="000000" w:themeColor="text1"/>
                <w:sz w:val="24"/>
              </w:rPr>
              <w:t>,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000个，</w:t>
            </w:r>
            <w:r w:rsidR="00293969">
              <w:rPr>
                <w:rFonts w:ascii="宋体" w:hAnsi="宋体" w:hint="eastAsia"/>
                <w:color w:val="000000" w:themeColor="text1"/>
                <w:sz w:val="24"/>
              </w:rPr>
              <w:t>可满足客户随需的扩容需求，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公司</w:t>
            </w:r>
            <w:r w:rsidR="00293969">
              <w:rPr>
                <w:rFonts w:ascii="宋体" w:hAnsi="宋体" w:hint="eastAsia"/>
                <w:color w:val="000000" w:themeColor="text1"/>
                <w:sz w:val="24"/>
              </w:rPr>
              <w:t>未来</w:t>
            </w:r>
            <w:r w:rsidR="00C64339">
              <w:rPr>
                <w:rFonts w:ascii="宋体" w:hAnsi="宋体" w:hint="eastAsia"/>
                <w:color w:val="000000" w:themeColor="text1"/>
                <w:sz w:val="24"/>
              </w:rPr>
              <w:t>可以充分盘活现有</w:t>
            </w:r>
            <w:r w:rsidR="00B301C3">
              <w:rPr>
                <w:rFonts w:ascii="宋体" w:hAnsi="宋体" w:hint="eastAsia"/>
                <w:color w:val="000000" w:themeColor="text1"/>
                <w:sz w:val="24"/>
              </w:rPr>
              <w:t>数据中心资产来提升资产效益</w:t>
            </w:r>
            <w:r w:rsidR="00FA1F03" w:rsidRPr="00FA1F03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986F70" w:rsidRDefault="007A6394" w:rsidP="008A1028">
            <w:pPr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问题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：</w:t>
            </w:r>
            <w:r w:rsidR="00FA1F03" w:rsidRPr="00FA1F03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怎样看待5G对IDC</w:t>
            </w:r>
            <w:r w:rsidR="00F47B97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及</w:t>
            </w:r>
            <w:proofErr w:type="gramStart"/>
            <w:r w:rsidR="00F47B97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云计算</w:t>
            </w:r>
            <w:proofErr w:type="gramEnd"/>
            <w:r w:rsidR="00F47B97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领域的</w:t>
            </w:r>
            <w:r w:rsidR="00FA1F03" w:rsidRPr="00FA1F03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影响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？</w:t>
            </w:r>
          </w:p>
          <w:p w:rsidR="001A7AC1" w:rsidRPr="00E646ED" w:rsidRDefault="007A6394" w:rsidP="00E646ED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答：</w:t>
            </w:r>
            <w:r w:rsidR="00FA1F03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1A7AC1" w:rsidRPr="00E646ED">
              <w:rPr>
                <w:rFonts w:ascii="宋体" w:hAnsi="宋体" w:hint="eastAsia"/>
                <w:color w:val="000000" w:themeColor="text1"/>
                <w:sz w:val="24"/>
              </w:rPr>
              <w:t>5G带来信息处理速率提升，终端成为接收设备，产生的天量数据和计算直接由“云</w:t>
            </w:r>
            <w:r w:rsidR="004F1884">
              <w:rPr>
                <w:rFonts w:ascii="宋体" w:hAnsi="宋体" w:hint="eastAsia"/>
                <w:color w:val="000000" w:themeColor="text1"/>
                <w:sz w:val="24"/>
              </w:rPr>
              <w:t>”</w:t>
            </w:r>
            <w:r w:rsidR="001A7AC1" w:rsidRPr="00E646ED">
              <w:rPr>
                <w:rFonts w:ascii="宋体" w:hAnsi="宋体" w:hint="eastAsia"/>
                <w:color w:val="000000" w:themeColor="text1"/>
                <w:sz w:val="24"/>
              </w:rPr>
              <w:t>运行，云就是数据中心，云是5G时代的</w:t>
            </w:r>
            <w:proofErr w:type="gramStart"/>
            <w:r w:rsidR="001A7AC1" w:rsidRPr="00E646ED">
              <w:rPr>
                <w:rFonts w:ascii="宋体" w:hAnsi="宋体" w:hint="eastAsia"/>
                <w:color w:val="000000" w:themeColor="text1"/>
                <w:sz w:val="24"/>
              </w:rPr>
              <w:t>”</w:t>
            </w:r>
            <w:proofErr w:type="gramEnd"/>
            <w:r w:rsidR="001A7AC1" w:rsidRPr="00E646ED">
              <w:rPr>
                <w:rFonts w:ascii="宋体" w:hAnsi="宋体" w:hint="eastAsia"/>
                <w:color w:val="000000" w:themeColor="text1"/>
                <w:sz w:val="24"/>
              </w:rPr>
              <w:t>大脑中枢</w:t>
            </w:r>
            <w:proofErr w:type="gramStart"/>
            <w:r w:rsidR="001A7AC1" w:rsidRPr="00E646ED">
              <w:rPr>
                <w:rFonts w:ascii="宋体" w:hAnsi="宋体" w:hint="eastAsia"/>
                <w:color w:val="000000" w:themeColor="text1"/>
                <w:sz w:val="24"/>
              </w:rPr>
              <w:t>”</w:t>
            </w:r>
            <w:proofErr w:type="gramEnd"/>
            <w:r w:rsidR="00E646ED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1A7AC1" w:rsidRDefault="001A7AC1" w:rsidP="001A7AC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1A7AC1">
              <w:rPr>
                <w:rFonts w:ascii="宋体" w:hAnsi="宋体" w:hint="eastAsia"/>
                <w:color w:val="000000" w:themeColor="text1"/>
                <w:sz w:val="24"/>
              </w:rPr>
              <w:t>随着5G的推进，爆发的数据需要与之对应的数据中心计算</w:t>
            </w:r>
            <w:r w:rsidRPr="001A7AC1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与存储，</w:t>
            </w:r>
            <w:proofErr w:type="gramStart"/>
            <w:r w:rsidRPr="001A7AC1">
              <w:rPr>
                <w:rFonts w:ascii="宋体" w:hAnsi="宋体" w:hint="eastAsia"/>
                <w:color w:val="000000" w:themeColor="text1"/>
                <w:sz w:val="24"/>
              </w:rPr>
              <w:t>云数据</w:t>
            </w:r>
            <w:proofErr w:type="gramEnd"/>
            <w:r w:rsidRPr="001A7AC1">
              <w:rPr>
                <w:rFonts w:ascii="宋体" w:hAnsi="宋体" w:hint="eastAsia"/>
                <w:color w:val="000000" w:themeColor="text1"/>
                <w:sz w:val="24"/>
              </w:rPr>
              <w:t>成为主要的数据中心流量 ，预计未来</w:t>
            </w:r>
            <w:r w:rsidR="00E646ED">
              <w:rPr>
                <w:rFonts w:ascii="宋体" w:hAnsi="宋体" w:hint="eastAsia"/>
                <w:color w:val="000000" w:themeColor="text1"/>
                <w:sz w:val="24"/>
              </w:rPr>
              <w:t>将大幅增长</w:t>
            </w:r>
            <w:r w:rsidRPr="001A7AC1">
              <w:rPr>
                <w:rFonts w:ascii="宋体" w:hAnsi="宋体" w:hint="eastAsia"/>
                <w:color w:val="000000" w:themeColor="text1"/>
                <w:sz w:val="24"/>
              </w:rPr>
              <w:t>，数据中心建设和数据中心市场收</w:t>
            </w:r>
            <w:r w:rsidR="00AA7F77">
              <w:rPr>
                <w:rFonts w:ascii="宋体" w:hAnsi="宋体" w:hint="eastAsia"/>
                <w:color w:val="000000" w:themeColor="text1"/>
                <w:sz w:val="24"/>
              </w:rPr>
              <w:t>入的高速增长将逐步释放积压的需求，推动数据中心行业进入新的增长</w:t>
            </w:r>
            <w:r w:rsidRPr="001A7AC1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F47B97" w:rsidRPr="001A7AC1" w:rsidRDefault="00F47B97" w:rsidP="00F47B97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F47B97">
              <w:rPr>
                <w:rFonts w:ascii="宋体" w:hAnsi="宋体" w:hint="eastAsia"/>
                <w:color w:val="000000" w:themeColor="text1"/>
                <w:sz w:val="24"/>
              </w:rPr>
              <w:t>公司</w:t>
            </w:r>
            <w:r w:rsidR="00131737">
              <w:rPr>
                <w:rFonts w:ascii="宋体" w:hAnsi="宋体" w:hint="eastAsia"/>
                <w:color w:val="000000" w:themeColor="text1"/>
                <w:sz w:val="24"/>
              </w:rPr>
              <w:t>将在已有IDC数据中心的基础上</w:t>
            </w:r>
            <w:r w:rsidRPr="00F47B97">
              <w:rPr>
                <w:rFonts w:ascii="宋体" w:hAnsi="宋体" w:hint="eastAsia"/>
                <w:color w:val="000000" w:themeColor="text1"/>
                <w:sz w:val="24"/>
              </w:rPr>
              <w:t>紧抓5G发展机遇，抢占技术制高点，实现智慧园区、智慧养老、智慧路灯技术、智慧征信平台开发等领域的技术储备和产品研发，逐步实现公司</w:t>
            </w:r>
            <w:proofErr w:type="gramStart"/>
            <w:r w:rsidRPr="00F47B97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Pr="00F47B97">
              <w:rPr>
                <w:rFonts w:ascii="宋体" w:hAnsi="宋体" w:hint="eastAsia"/>
                <w:color w:val="000000" w:themeColor="text1"/>
                <w:sz w:val="24"/>
              </w:rPr>
              <w:t>及数据存储业务下沉至终端，提升公司综合竞争力。</w:t>
            </w:r>
          </w:p>
          <w:p w:rsidR="00C7795E" w:rsidRDefault="00C7795E" w:rsidP="00C7795E">
            <w:pPr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C7795E">
              <w:rPr>
                <w:rFonts w:ascii="宋体" w:hAnsi="宋体" w:hint="eastAsia"/>
                <w:b/>
                <w:color w:val="000000" w:themeColor="text1"/>
                <w:sz w:val="24"/>
              </w:rPr>
              <w:t>问题6: 东莞旗峰数据中心需要资金继续投入，资金方面如何跟上，有何融资计划？</w:t>
            </w:r>
          </w:p>
          <w:p w:rsidR="00986F70" w:rsidRDefault="007A6394" w:rsidP="00C7795E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答：</w:t>
            </w:r>
            <w:r w:rsidR="0026353E" w:rsidRPr="0026353E">
              <w:rPr>
                <w:rFonts w:ascii="宋体" w:hAnsi="宋体" w:hint="eastAsia"/>
                <w:color w:val="000000" w:themeColor="text1"/>
                <w:sz w:val="24"/>
              </w:rPr>
              <w:t>对于</w:t>
            </w:r>
            <w:r w:rsidR="00567AC3">
              <w:rPr>
                <w:rFonts w:ascii="宋体" w:hAnsi="宋体" w:hint="eastAsia"/>
                <w:color w:val="000000" w:themeColor="text1"/>
                <w:sz w:val="24"/>
              </w:rPr>
              <w:t>公司数据中心</w:t>
            </w:r>
            <w:r w:rsidR="00D825BB">
              <w:rPr>
                <w:rFonts w:ascii="宋体" w:hAnsi="宋体" w:hint="eastAsia"/>
                <w:color w:val="000000" w:themeColor="text1"/>
                <w:sz w:val="24"/>
              </w:rPr>
              <w:t>建设</w:t>
            </w:r>
            <w:r w:rsidR="0026353E" w:rsidRPr="0026353E">
              <w:rPr>
                <w:rFonts w:ascii="宋体" w:hAnsi="宋体" w:hint="eastAsia"/>
                <w:color w:val="000000" w:themeColor="text1"/>
                <w:sz w:val="24"/>
              </w:rPr>
              <w:t>项目</w:t>
            </w:r>
            <w:r w:rsidR="00170DCE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="0026353E" w:rsidRPr="0026353E">
              <w:rPr>
                <w:rFonts w:ascii="宋体" w:hAnsi="宋体" w:hint="eastAsia"/>
                <w:color w:val="000000" w:themeColor="text1"/>
                <w:sz w:val="24"/>
              </w:rPr>
              <w:t>可以以项目贷的形式向银行</w:t>
            </w:r>
            <w:r w:rsidR="00170DCE">
              <w:rPr>
                <w:rFonts w:ascii="宋体" w:hAnsi="宋体" w:hint="eastAsia"/>
                <w:color w:val="000000" w:themeColor="text1"/>
                <w:sz w:val="24"/>
              </w:rPr>
              <w:t>申请贷款，</w:t>
            </w:r>
            <w:r w:rsidR="00511A2C">
              <w:rPr>
                <w:rFonts w:ascii="宋体" w:hAnsi="宋体" w:hint="eastAsia"/>
                <w:color w:val="000000" w:themeColor="text1"/>
                <w:sz w:val="24"/>
              </w:rPr>
              <w:t>今年一月，公司在东莞的控股子公司向华兴银行申请了金额为</w:t>
            </w:r>
            <w:r w:rsidR="00A44EDC">
              <w:rPr>
                <w:rFonts w:ascii="宋体" w:hAnsi="宋体" w:hint="eastAsia"/>
                <w:color w:val="000000" w:themeColor="text1"/>
                <w:sz w:val="24"/>
              </w:rPr>
              <w:t>5个亿的项目贷款，</w:t>
            </w:r>
            <w:r w:rsidR="00AE1FA9">
              <w:rPr>
                <w:rFonts w:ascii="宋体" w:hAnsi="宋体" w:hint="eastAsia"/>
                <w:color w:val="000000" w:themeColor="text1"/>
                <w:sz w:val="24"/>
              </w:rPr>
              <w:t>该项目贷款目前已经到账，</w:t>
            </w:r>
            <w:r w:rsidR="00A127B2">
              <w:rPr>
                <w:rFonts w:ascii="宋体" w:hAnsi="宋体" w:hint="eastAsia"/>
                <w:color w:val="000000" w:themeColor="text1"/>
                <w:sz w:val="24"/>
              </w:rPr>
              <w:t>为顺利推进宏达数据中心机房项目的实施提供了支撑，后续如</w:t>
            </w:r>
            <w:r w:rsidR="005E2BC3">
              <w:rPr>
                <w:rFonts w:ascii="宋体" w:hAnsi="宋体" w:hint="eastAsia"/>
                <w:color w:val="000000" w:themeColor="text1"/>
                <w:sz w:val="24"/>
              </w:rPr>
              <w:t>因客户需求增加，</w:t>
            </w:r>
            <w:r w:rsidR="00EB0BCE">
              <w:rPr>
                <w:rFonts w:ascii="宋体" w:hAnsi="宋体" w:hint="eastAsia"/>
                <w:color w:val="000000" w:themeColor="text1"/>
                <w:sz w:val="24"/>
              </w:rPr>
              <w:t>在项目建设方面</w:t>
            </w:r>
            <w:r w:rsidR="00A127B2">
              <w:rPr>
                <w:rFonts w:ascii="宋体" w:hAnsi="宋体" w:hint="eastAsia"/>
                <w:color w:val="000000" w:themeColor="text1"/>
                <w:sz w:val="24"/>
              </w:rPr>
              <w:t>有新的资金需求，</w:t>
            </w:r>
            <w:r w:rsidR="005E2BC3">
              <w:rPr>
                <w:rFonts w:ascii="宋体" w:hAnsi="宋体" w:hint="eastAsia"/>
                <w:color w:val="000000" w:themeColor="text1"/>
                <w:sz w:val="24"/>
              </w:rPr>
              <w:t>我们也会积极拓展</w:t>
            </w:r>
            <w:r w:rsidR="00236137">
              <w:rPr>
                <w:rFonts w:ascii="宋体" w:hAnsi="宋体" w:hint="eastAsia"/>
                <w:color w:val="000000" w:themeColor="text1"/>
                <w:sz w:val="24"/>
              </w:rPr>
              <w:t>其他</w:t>
            </w:r>
            <w:r w:rsidR="005E2BC3">
              <w:rPr>
                <w:rFonts w:ascii="宋体" w:hAnsi="宋体" w:hint="eastAsia"/>
                <w:color w:val="000000" w:themeColor="text1"/>
                <w:sz w:val="24"/>
              </w:rPr>
              <w:t>融资渠道，</w:t>
            </w:r>
            <w:r w:rsidR="00EB0BCE">
              <w:rPr>
                <w:rFonts w:ascii="宋体" w:hAnsi="宋体" w:hint="eastAsia"/>
                <w:color w:val="000000" w:themeColor="text1"/>
                <w:sz w:val="24"/>
              </w:rPr>
              <w:t>以</w:t>
            </w:r>
            <w:r w:rsidR="005E2BC3">
              <w:rPr>
                <w:rFonts w:ascii="宋体" w:hAnsi="宋体" w:hint="eastAsia"/>
                <w:color w:val="000000" w:themeColor="text1"/>
                <w:sz w:val="24"/>
              </w:rPr>
              <w:t>保障项目实施</w:t>
            </w:r>
            <w:r w:rsidR="0026353E" w:rsidRPr="0026353E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26353E" w:rsidRPr="0026353E" w:rsidRDefault="0026353E" w:rsidP="008A1028">
            <w:pPr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26353E">
              <w:rPr>
                <w:rFonts w:ascii="宋体" w:hAnsi="宋体" w:hint="eastAsia"/>
                <w:b/>
                <w:color w:val="000000" w:themeColor="text1"/>
                <w:sz w:val="24"/>
              </w:rPr>
              <w:t>问题7：近年来公司开展的与资本市场的交流活动不多，公司是否考虑在2019年加强在资本市场上的宣传？</w:t>
            </w:r>
          </w:p>
          <w:p w:rsidR="0026353E" w:rsidRDefault="0026353E" w:rsidP="006909C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6353E">
              <w:rPr>
                <w:rFonts w:ascii="宋体" w:hAnsi="宋体" w:hint="eastAsia"/>
                <w:color w:val="000000" w:themeColor="text1"/>
                <w:sz w:val="24"/>
              </w:rPr>
              <w:t>证通电子自成立以来在金融电子行业做了二十多年，资本市场对公</w:t>
            </w:r>
            <w:r w:rsidR="006909C6">
              <w:rPr>
                <w:rFonts w:ascii="宋体" w:hAnsi="宋体" w:hint="eastAsia"/>
                <w:color w:val="000000" w:themeColor="text1"/>
                <w:sz w:val="24"/>
              </w:rPr>
              <w:t>司的认识主要还停留在金融电子阶段，而实际上，近几年来，我们除了深耕传统的</w:t>
            </w:r>
            <w:r w:rsidRPr="0026353E">
              <w:rPr>
                <w:rFonts w:ascii="宋体" w:hAnsi="宋体" w:hint="eastAsia"/>
                <w:color w:val="000000" w:themeColor="text1"/>
                <w:sz w:val="24"/>
              </w:rPr>
              <w:t>金融电子领域</w:t>
            </w:r>
            <w:r w:rsidR="006909C6">
              <w:rPr>
                <w:rFonts w:ascii="宋体" w:hAnsi="宋体" w:hint="eastAsia"/>
                <w:color w:val="000000" w:themeColor="text1"/>
                <w:sz w:val="24"/>
              </w:rPr>
              <w:t>之外，还成功地开拓了</w:t>
            </w:r>
            <w:r w:rsidRPr="0026353E">
              <w:rPr>
                <w:rFonts w:ascii="宋体" w:hAnsi="宋体" w:hint="eastAsia"/>
                <w:color w:val="000000" w:themeColor="text1"/>
                <w:sz w:val="24"/>
              </w:rPr>
              <w:t>IDC</w:t>
            </w:r>
            <w:r w:rsidR="006909C6">
              <w:rPr>
                <w:rFonts w:ascii="宋体" w:hAnsi="宋体" w:hint="eastAsia"/>
                <w:color w:val="000000" w:themeColor="text1"/>
                <w:sz w:val="24"/>
              </w:rPr>
              <w:t>与</w:t>
            </w:r>
            <w:proofErr w:type="gramStart"/>
            <w:r w:rsidR="006909C6">
              <w:rPr>
                <w:rFonts w:ascii="宋体" w:hAnsi="宋体" w:hint="eastAsia"/>
                <w:color w:val="000000" w:themeColor="text1"/>
                <w:sz w:val="24"/>
              </w:rPr>
              <w:t>云计算</w:t>
            </w:r>
            <w:proofErr w:type="gramEnd"/>
            <w:r w:rsidRPr="0026353E">
              <w:rPr>
                <w:rFonts w:ascii="宋体" w:hAnsi="宋体" w:hint="eastAsia"/>
                <w:color w:val="000000" w:themeColor="text1"/>
                <w:sz w:val="24"/>
              </w:rPr>
              <w:t>领域，我们的五大数据中心的布局已经成型，公司能提供的IDC服务既包括基础的租赁服务，还包括IDC增值服务</w:t>
            </w:r>
            <w:r w:rsidR="002126F5">
              <w:rPr>
                <w:rFonts w:ascii="宋体" w:hAnsi="宋体" w:hint="eastAsia"/>
                <w:color w:val="000000" w:themeColor="text1"/>
                <w:sz w:val="24"/>
              </w:rPr>
              <w:t>、云服务、</w:t>
            </w:r>
            <w:r w:rsidRPr="0026353E">
              <w:rPr>
                <w:rFonts w:ascii="宋体" w:hAnsi="宋体" w:hint="eastAsia"/>
                <w:color w:val="000000" w:themeColor="text1"/>
                <w:sz w:val="24"/>
              </w:rPr>
              <w:t>及智慧园区、智慧城市解决方案，截止目前，公司对几大数据中心在资本市场上的宣传尚有所欠缺，接下来，我们会在</w:t>
            </w:r>
            <w:r w:rsidR="00451ECE">
              <w:rPr>
                <w:rFonts w:ascii="宋体" w:hAnsi="宋体" w:hint="eastAsia"/>
                <w:color w:val="000000" w:themeColor="text1"/>
                <w:sz w:val="24"/>
              </w:rPr>
              <w:t>明确战略方向</w:t>
            </w:r>
            <w:r w:rsidRPr="0026353E">
              <w:rPr>
                <w:rFonts w:ascii="宋体" w:hAnsi="宋体" w:hint="eastAsia"/>
                <w:color w:val="000000" w:themeColor="text1"/>
                <w:sz w:val="24"/>
              </w:rPr>
              <w:t>的基础上对公司加强在资本市场上的宣传，让投资者对公司业务、公司价值有更全面、更深入的了解。</w:t>
            </w:r>
          </w:p>
        </w:tc>
      </w:tr>
      <w:tr w:rsidR="00986F70">
        <w:trPr>
          <w:trHeight w:val="550"/>
        </w:trPr>
        <w:tc>
          <w:tcPr>
            <w:tcW w:w="1962" w:type="dxa"/>
          </w:tcPr>
          <w:p w:rsidR="00986F70" w:rsidRDefault="007A639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lastRenderedPageBreak/>
              <w:t>附件清单（如有）</w:t>
            </w:r>
          </w:p>
        </w:tc>
        <w:tc>
          <w:tcPr>
            <w:tcW w:w="6801" w:type="dxa"/>
          </w:tcPr>
          <w:p w:rsidR="00986F70" w:rsidRDefault="007A6394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无</w:t>
            </w:r>
          </w:p>
        </w:tc>
      </w:tr>
      <w:tr w:rsidR="00986F70">
        <w:trPr>
          <w:trHeight w:val="550"/>
        </w:trPr>
        <w:tc>
          <w:tcPr>
            <w:tcW w:w="1962" w:type="dxa"/>
            <w:vAlign w:val="center"/>
          </w:tcPr>
          <w:p w:rsidR="00986F70" w:rsidRDefault="007A639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日期</w:t>
            </w:r>
          </w:p>
        </w:tc>
        <w:tc>
          <w:tcPr>
            <w:tcW w:w="6801" w:type="dxa"/>
          </w:tcPr>
          <w:p w:rsidR="00986F70" w:rsidRDefault="007A6394" w:rsidP="00F00512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201</w:t>
            </w:r>
            <w:r w:rsidR="009164E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年</w:t>
            </w:r>
            <w:r w:rsidR="009164E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月</w:t>
            </w:r>
            <w:r w:rsidR="00F00512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8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日</w:t>
            </w:r>
          </w:p>
        </w:tc>
      </w:tr>
    </w:tbl>
    <w:p w:rsidR="00986F70" w:rsidRDefault="00986F70">
      <w:pPr>
        <w:rPr>
          <w:color w:val="000000" w:themeColor="text1"/>
        </w:rPr>
      </w:pPr>
    </w:p>
    <w:sectPr w:rsidR="00986F70">
      <w:footerReference w:type="even" r:id="rId11"/>
      <w:footerReference w:type="default" r:id="rId12"/>
      <w:pgSz w:w="11906" w:h="16838"/>
      <w:pgMar w:top="1091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45" w:rsidRDefault="00F24C45">
      <w:r>
        <w:separator/>
      </w:r>
    </w:p>
  </w:endnote>
  <w:endnote w:type="continuationSeparator" w:id="0">
    <w:p w:rsidR="00F24C45" w:rsidRDefault="00F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70" w:rsidRDefault="007A63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F70" w:rsidRDefault="00986F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70" w:rsidRDefault="007A63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655">
      <w:rPr>
        <w:rStyle w:val="a6"/>
        <w:noProof/>
      </w:rPr>
      <w:t>5</w:t>
    </w:r>
    <w:r>
      <w:rPr>
        <w:rStyle w:val="a6"/>
      </w:rPr>
      <w:fldChar w:fldCharType="end"/>
    </w:r>
  </w:p>
  <w:p w:rsidR="00986F70" w:rsidRDefault="00986F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45" w:rsidRDefault="00F24C45">
      <w:r>
        <w:separator/>
      </w:r>
    </w:p>
  </w:footnote>
  <w:footnote w:type="continuationSeparator" w:id="0">
    <w:p w:rsidR="00F24C45" w:rsidRDefault="00F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5C9"/>
    <w:multiLevelType w:val="hybridMultilevel"/>
    <w:tmpl w:val="B49A1D5C"/>
    <w:lvl w:ilvl="0" w:tplc="AFD6275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86C0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2315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51B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4B3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A1A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4C4B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4365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66EA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14CA5"/>
    <w:multiLevelType w:val="hybridMultilevel"/>
    <w:tmpl w:val="377C08D4"/>
    <w:lvl w:ilvl="0" w:tplc="187006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4083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ADD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202E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A135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A07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40F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28A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30ABA"/>
    <w:multiLevelType w:val="hybridMultilevel"/>
    <w:tmpl w:val="4BEADCD2"/>
    <w:lvl w:ilvl="0" w:tplc="2334E51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AE6C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6E4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864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616C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E8A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97D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C6C4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4F5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51138"/>
    <w:multiLevelType w:val="hybridMultilevel"/>
    <w:tmpl w:val="A13AD188"/>
    <w:lvl w:ilvl="0" w:tplc="F598481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E3A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6133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75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8821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26F3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A03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EBC5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A78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51B06"/>
    <w:multiLevelType w:val="hybridMultilevel"/>
    <w:tmpl w:val="D346A878"/>
    <w:lvl w:ilvl="0" w:tplc="A21A54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A22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4B80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E3E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8D7D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646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08E7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80F6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C9F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21673"/>
    <w:multiLevelType w:val="singleLevel"/>
    <w:tmpl w:val="7562167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8C6266A"/>
    <w:multiLevelType w:val="hybridMultilevel"/>
    <w:tmpl w:val="11346278"/>
    <w:lvl w:ilvl="0" w:tplc="71B6C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5"/>
    <w:rsid w:val="00000E6D"/>
    <w:rsid w:val="00002F8D"/>
    <w:rsid w:val="00003427"/>
    <w:rsid w:val="00003BCC"/>
    <w:rsid w:val="00005C0C"/>
    <w:rsid w:val="0000755B"/>
    <w:rsid w:val="00007FBE"/>
    <w:rsid w:val="00010FFB"/>
    <w:rsid w:val="000136EC"/>
    <w:rsid w:val="00016E01"/>
    <w:rsid w:val="00022CF7"/>
    <w:rsid w:val="00022EA5"/>
    <w:rsid w:val="00022F39"/>
    <w:rsid w:val="00023D0B"/>
    <w:rsid w:val="000266DA"/>
    <w:rsid w:val="000267FE"/>
    <w:rsid w:val="0002696D"/>
    <w:rsid w:val="00026A64"/>
    <w:rsid w:val="00030947"/>
    <w:rsid w:val="000312AA"/>
    <w:rsid w:val="00031C40"/>
    <w:rsid w:val="00033256"/>
    <w:rsid w:val="00036381"/>
    <w:rsid w:val="000401B6"/>
    <w:rsid w:val="000477C0"/>
    <w:rsid w:val="0005286A"/>
    <w:rsid w:val="00053157"/>
    <w:rsid w:val="0005497C"/>
    <w:rsid w:val="00055C81"/>
    <w:rsid w:val="0005608A"/>
    <w:rsid w:val="00057241"/>
    <w:rsid w:val="00057ED8"/>
    <w:rsid w:val="00057F2D"/>
    <w:rsid w:val="00060863"/>
    <w:rsid w:val="000612B4"/>
    <w:rsid w:val="0006214B"/>
    <w:rsid w:val="000629CF"/>
    <w:rsid w:val="00063356"/>
    <w:rsid w:val="00064AAE"/>
    <w:rsid w:val="00067BB6"/>
    <w:rsid w:val="00073773"/>
    <w:rsid w:val="00075894"/>
    <w:rsid w:val="0007594F"/>
    <w:rsid w:val="00076353"/>
    <w:rsid w:val="000778B9"/>
    <w:rsid w:val="00082D67"/>
    <w:rsid w:val="00083CA6"/>
    <w:rsid w:val="00084584"/>
    <w:rsid w:val="0008617A"/>
    <w:rsid w:val="00096463"/>
    <w:rsid w:val="0009750B"/>
    <w:rsid w:val="000A1CCA"/>
    <w:rsid w:val="000A2378"/>
    <w:rsid w:val="000A3F5F"/>
    <w:rsid w:val="000A6AC6"/>
    <w:rsid w:val="000B2377"/>
    <w:rsid w:val="000B2706"/>
    <w:rsid w:val="000B418A"/>
    <w:rsid w:val="000B53E2"/>
    <w:rsid w:val="000B5C52"/>
    <w:rsid w:val="000C533C"/>
    <w:rsid w:val="000C5DBA"/>
    <w:rsid w:val="000C6300"/>
    <w:rsid w:val="000C7EFD"/>
    <w:rsid w:val="000D2301"/>
    <w:rsid w:val="000D4B99"/>
    <w:rsid w:val="000D66BC"/>
    <w:rsid w:val="000D784E"/>
    <w:rsid w:val="000E0957"/>
    <w:rsid w:val="000E42DD"/>
    <w:rsid w:val="000E5C7D"/>
    <w:rsid w:val="000E70A5"/>
    <w:rsid w:val="000F1387"/>
    <w:rsid w:val="000F2F0D"/>
    <w:rsid w:val="000F4846"/>
    <w:rsid w:val="000F744B"/>
    <w:rsid w:val="00105E2E"/>
    <w:rsid w:val="00106401"/>
    <w:rsid w:val="00114ECF"/>
    <w:rsid w:val="001157AA"/>
    <w:rsid w:val="00116813"/>
    <w:rsid w:val="001170E5"/>
    <w:rsid w:val="001173E7"/>
    <w:rsid w:val="00117798"/>
    <w:rsid w:val="00117CB4"/>
    <w:rsid w:val="0012568E"/>
    <w:rsid w:val="001274D1"/>
    <w:rsid w:val="00131737"/>
    <w:rsid w:val="001377E4"/>
    <w:rsid w:val="001426D9"/>
    <w:rsid w:val="001442AB"/>
    <w:rsid w:val="00155B9A"/>
    <w:rsid w:val="00167E14"/>
    <w:rsid w:val="00170DCE"/>
    <w:rsid w:val="00175620"/>
    <w:rsid w:val="00175645"/>
    <w:rsid w:val="001800FF"/>
    <w:rsid w:val="00180408"/>
    <w:rsid w:val="001831F7"/>
    <w:rsid w:val="0019015A"/>
    <w:rsid w:val="00190C9E"/>
    <w:rsid w:val="001913E1"/>
    <w:rsid w:val="001918AF"/>
    <w:rsid w:val="00197E1E"/>
    <w:rsid w:val="001A2EF9"/>
    <w:rsid w:val="001A7AC1"/>
    <w:rsid w:val="001B3336"/>
    <w:rsid w:val="001B691E"/>
    <w:rsid w:val="001C0A3C"/>
    <w:rsid w:val="001C43D3"/>
    <w:rsid w:val="001D0A47"/>
    <w:rsid w:val="001D1917"/>
    <w:rsid w:val="001D2088"/>
    <w:rsid w:val="001D3A2F"/>
    <w:rsid w:val="001D54D8"/>
    <w:rsid w:val="001E0B96"/>
    <w:rsid w:val="001E0FAB"/>
    <w:rsid w:val="001E3C06"/>
    <w:rsid w:val="001E662B"/>
    <w:rsid w:val="001E671E"/>
    <w:rsid w:val="001E6A73"/>
    <w:rsid w:val="001F04DC"/>
    <w:rsid w:val="001F5963"/>
    <w:rsid w:val="001F75EE"/>
    <w:rsid w:val="0020048D"/>
    <w:rsid w:val="00200590"/>
    <w:rsid w:val="00204DFF"/>
    <w:rsid w:val="00205F1C"/>
    <w:rsid w:val="00207606"/>
    <w:rsid w:val="00207849"/>
    <w:rsid w:val="00212047"/>
    <w:rsid w:val="002126F5"/>
    <w:rsid w:val="002157A9"/>
    <w:rsid w:val="00216034"/>
    <w:rsid w:val="00220799"/>
    <w:rsid w:val="0022191F"/>
    <w:rsid w:val="00224C19"/>
    <w:rsid w:val="002262CB"/>
    <w:rsid w:val="00226AB5"/>
    <w:rsid w:val="00236137"/>
    <w:rsid w:val="00236C7A"/>
    <w:rsid w:val="00245FBE"/>
    <w:rsid w:val="00246B61"/>
    <w:rsid w:val="00246D51"/>
    <w:rsid w:val="0026353E"/>
    <w:rsid w:val="00265B86"/>
    <w:rsid w:val="00266E18"/>
    <w:rsid w:val="002676F4"/>
    <w:rsid w:val="00270044"/>
    <w:rsid w:val="00273C16"/>
    <w:rsid w:val="002769A1"/>
    <w:rsid w:val="00276BD0"/>
    <w:rsid w:val="00283A10"/>
    <w:rsid w:val="00284DAB"/>
    <w:rsid w:val="00290B95"/>
    <w:rsid w:val="00293969"/>
    <w:rsid w:val="00293AA2"/>
    <w:rsid w:val="002A3139"/>
    <w:rsid w:val="002A3C29"/>
    <w:rsid w:val="002A4DBE"/>
    <w:rsid w:val="002B673A"/>
    <w:rsid w:val="002C4079"/>
    <w:rsid w:val="002D0746"/>
    <w:rsid w:val="002D321E"/>
    <w:rsid w:val="002D45D9"/>
    <w:rsid w:val="002D5381"/>
    <w:rsid w:val="002D5387"/>
    <w:rsid w:val="002D6332"/>
    <w:rsid w:val="002D6F8A"/>
    <w:rsid w:val="002D7047"/>
    <w:rsid w:val="002D7F47"/>
    <w:rsid w:val="002E01A8"/>
    <w:rsid w:val="002E58E4"/>
    <w:rsid w:val="002F0F37"/>
    <w:rsid w:val="002F11D0"/>
    <w:rsid w:val="002F15FB"/>
    <w:rsid w:val="002F2C15"/>
    <w:rsid w:val="002F6ED1"/>
    <w:rsid w:val="0030196C"/>
    <w:rsid w:val="00303833"/>
    <w:rsid w:val="00303D5E"/>
    <w:rsid w:val="00304434"/>
    <w:rsid w:val="003061A7"/>
    <w:rsid w:val="00306E7D"/>
    <w:rsid w:val="003108BA"/>
    <w:rsid w:val="0031162C"/>
    <w:rsid w:val="003129A2"/>
    <w:rsid w:val="00315426"/>
    <w:rsid w:val="00317BBD"/>
    <w:rsid w:val="00320E5D"/>
    <w:rsid w:val="003227FF"/>
    <w:rsid w:val="0033019A"/>
    <w:rsid w:val="00331739"/>
    <w:rsid w:val="003323EE"/>
    <w:rsid w:val="00333AA1"/>
    <w:rsid w:val="00333AD1"/>
    <w:rsid w:val="00340158"/>
    <w:rsid w:val="00340F25"/>
    <w:rsid w:val="003421F5"/>
    <w:rsid w:val="00343846"/>
    <w:rsid w:val="00353A73"/>
    <w:rsid w:val="0036017A"/>
    <w:rsid w:val="00360C12"/>
    <w:rsid w:val="0036253B"/>
    <w:rsid w:val="00365C64"/>
    <w:rsid w:val="00371577"/>
    <w:rsid w:val="003750F0"/>
    <w:rsid w:val="00375E2A"/>
    <w:rsid w:val="00380774"/>
    <w:rsid w:val="00383D76"/>
    <w:rsid w:val="00384C86"/>
    <w:rsid w:val="00392CB4"/>
    <w:rsid w:val="003932E2"/>
    <w:rsid w:val="00393F03"/>
    <w:rsid w:val="00396DA3"/>
    <w:rsid w:val="003A1214"/>
    <w:rsid w:val="003A3858"/>
    <w:rsid w:val="003A6740"/>
    <w:rsid w:val="003A7DC7"/>
    <w:rsid w:val="003B100E"/>
    <w:rsid w:val="003B6762"/>
    <w:rsid w:val="003C0A80"/>
    <w:rsid w:val="003C1458"/>
    <w:rsid w:val="003C282B"/>
    <w:rsid w:val="003C3C2E"/>
    <w:rsid w:val="003C4F5E"/>
    <w:rsid w:val="003C6DEA"/>
    <w:rsid w:val="003D161C"/>
    <w:rsid w:val="003D25BC"/>
    <w:rsid w:val="003D3B78"/>
    <w:rsid w:val="003D5DE3"/>
    <w:rsid w:val="003E074F"/>
    <w:rsid w:val="003E13AA"/>
    <w:rsid w:val="003E21E9"/>
    <w:rsid w:val="003E253D"/>
    <w:rsid w:val="003E2FE9"/>
    <w:rsid w:val="003E61C9"/>
    <w:rsid w:val="003F084C"/>
    <w:rsid w:val="003F0B0A"/>
    <w:rsid w:val="003F1571"/>
    <w:rsid w:val="003F52BD"/>
    <w:rsid w:val="003F644E"/>
    <w:rsid w:val="00400D78"/>
    <w:rsid w:val="00401BF6"/>
    <w:rsid w:val="0040537F"/>
    <w:rsid w:val="00406A20"/>
    <w:rsid w:val="00416D60"/>
    <w:rsid w:val="00420151"/>
    <w:rsid w:val="00421F2A"/>
    <w:rsid w:val="004307BF"/>
    <w:rsid w:val="00432766"/>
    <w:rsid w:val="004333BC"/>
    <w:rsid w:val="00434153"/>
    <w:rsid w:val="004355BB"/>
    <w:rsid w:val="00436F66"/>
    <w:rsid w:val="00444D14"/>
    <w:rsid w:val="0044523F"/>
    <w:rsid w:val="00451ECE"/>
    <w:rsid w:val="00461BAF"/>
    <w:rsid w:val="004655F2"/>
    <w:rsid w:val="0047309F"/>
    <w:rsid w:val="00474186"/>
    <w:rsid w:val="00474BFE"/>
    <w:rsid w:val="00476AE3"/>
    <w:rsid w:val="00482008"/>
    <w:rsid w:val="004836BA"/>
    <w:rsid w:val="0049039F"/>
    <w:rsid w:val="00495737"/>
    <w:rsid w:val="0049651B"/>
    <w:rsid w:val="00497182"/>
    <w:rsid w:val="004A5C91"/>
    <w:rsid w:val="004A6B08"/>
    <w:rsid w:val="004B3934"/>
    <w:rsid w:val="004B4AD7"/>
    <w:rsid w:val="004B4F7A"/>
    <w:rsid w:val="004C25F4"/>
    <w:rsid w:val="004C2A4A"/>
    <w:rsid w:val="004D43B1"/>
    <w:rsid w:val="004E5D77"/>
    <w:rsid w:val="004F020B"/>
    <w:rsid w:val="004F0513"/>
    <w:rsid w:val="004F07AC"/>
    <w:rsid w:val="004F1884"/>
    <w:rsid w:val="004F2AF3"/>
    <w:rsid w:val="004F32D2"/>
    <w:rsid w:val="004F7278"/>
    <w:rsid w:val="00501EB5"/>
    <w:rsid w:val="00504C27"/>
    <w:rsid w:val="00505B09"/>
    <w:rsid w:val="00505DCD"/>
    <w:rsid w:val="00510144"/>
    <w:rsid w:val="00511A2C"/>
    <w:rsid w:val="00512A03"/>
    <w:rsid w:val="00513DFF"/>
    <w:rsid w:val="00517F10"/>
    <w:rsid w:val="005218F3"/>
    <w:rsid w:val="00521ECA"/>
    <w:rsid w:val="00525384"/>
    <w:rsid w:val="00527174"/>
    <w:rsid w:val="00531E9E"/>
    <w:rsid w:val="00532142"/>
    <w:rsid w:val="005333E6"/>
    <w:rsid w:val="00534F69"/>
    <w:rsid w:val="0054283C"/>
    <w:rsid w:val="00542F05"/>
    <w:rsid w:val="00544C87"/>
    <w:rsid w:val="00546E30"/>
    <w:rsid w:val="0056143D"/>
    <w:rsid w:val="005616B0"/>
    <w:rsid w:val="00564793"/>
    <w:rsid w:val="0056517F"/>
    <w:rsid w:val="005660CB"/>
    <w:rsid w:val="00566C08"/>
    <w:rsid w:val="00567AC3"/>
    <w:rsid w:val="005740E1"/>
    <w:rsid w:val="00575014"/>
    <w:rsid w:val="00575299"/>
    <w:rsid w:val="00581B85"/>
    <w:rsid w:val="00581D3B"/>
    <w:rsid w:val="00582B27"/>
    <w:rsid w:val="00584FBF"/>
    <w:rsid w:val="00590856"/>
    <w:rsid w:val="00590D08"/>
    <w:rsid w:val="0059196D"/>
    <w:rsid w:val="00592CC1"/>
    <w:rsid w:val="005945B2"/>
    <w:rsid w:val="00595F07"/>
    <w:rsid w:val="005A276E"/>
    <w:rsid w:val="005A31AC"/>
    <w:rsid w:val="005A37A6"/>
    <w:rsid w:val="005A414B"/>
    <w:rsid w:val="005A72DD"/>
    <w:rsid w:val="005B2AE1"/>
    <w:rsid w:val="005B5CE7"/>
    <w:rsid w:val="005C0AE4"/>
    <w:rsid w:val="005C5134"/>
    <w:rsid w:val="005C58F8"/>
    <w:rsid w:val="005C684B"/>
    <w:rsid w:val="005C7BAD"/>
    <w:rsid w:val="005D15A1"/>
    <w:rsid w:val="005D1B0B"/>
    <w:rsid w:val="005D267A"/>
    <w:rsid w:val="005D46B5"/>
    <w:rsid w:val="005D5C59"/>
    <w:rsid w:val="005D5CEC"/>
    <w:rsid w:val="005E2BC3"/>
    <w:rsid w:val="005F2424"/>
    <w:rsid w:val="005F3E0D"/>
    <w:rsid w:val="005F6488"/>
    <w:rsid w:val="005F64AA"/>
    <w:rsid w:val="005F7D20"/>
    <w:rsid w:val="00600AAC"/>
    <w:rsid w:val="00602FD2"/>
    <w:rsid w:val="00604B6D"/>
    <w:rsid w:val="00613641"/>
    <w:rsid w:val="006138F6"/>
    <w:rsid w:val="00617ADF"/>
    <w:rsid w:val="00620D7B"/>
    <w:rsid w:val="00621154"/>
    <w:rsid w:val="00624407"/>
    <w:rsid w:val="0062715B"/>
    <w:rsid w:val="00630EDD"/>
    <w:rsid w:val="00631EC9"/>
    <w:rsid w:val="00634C27"/>
    <w:rsid w:val="00640824"/>
    <w:rsid w:val="00640951"/>
    <w:rsid w:val="00640D7B"/>
    <w:rsid w:val="00640DFB"/>
    <w:rsid w:val="00641A4E"/>
    <w:rsid w:val="006427E4"/>
    <w:rsid w:val="0064302B"/>
    <w:rsid w:val="0064360C"/>
    <w:rsid w:val="00645D87"/>
    <w:rsid w:val="00651CD3"/>
    <w:rsid w:val="006529C6"/>
    <w:rsid w:val="006550D1"/>
    <w:rsid w:val="006612F2"/>
    <w:rsid w:val="00663EAB"/>
    <w:rsid w:val="0066718A"/>
    <w:rsid w:val="00676E63"/>
    <w:rsid w:val="00680BB0"/>
    <w:rsid w:val="006825FE"/>
    <w:rsid w:val="00685462"/>
    <w:rsid w:val="00685724"/>
    <w:rsid w:val="006879BC"/>
    <w:rsid w:val="00690572"/>
    <w:rsid w:val="006909C6"/>
    <w:rsid w:val="00691851"/>
    <w:rsid w:val="00695BEC"/>
    <w:rsid w:val="00697D01"/>
    <w:rsid w:val="006B28A4"/>
    <w:rsid w:val="006B3394"/>
    <w:rsid w:val="006B56C7"/>
    <w:rsid w:val="006B7DBA"/>
    <w:rsid w:val="006C270B"/>
    <w:rsid w:val="006C2BB3"/>
    <w:rsid w:val="006C31DC"/>
    <w:rsid w:val="006C34AC"/>
    <w:rsid w:val="006C3606"/>
    <w:rsid w:val="006C478D"/>
    <w:rsid w:val="006C61C1"/>
    <w:rsid w:val="006C7208"/>
    <w:rsid w:val="006C7D2E"/>
    <w:rsid w:val="006D06CC"/>
    <w:rsid w:val="006D1806"/>
    <w:rsid w:val="006D305F"/>
    <w:rsid w:val="006D34AB"/>
    <w:rsid w:val="006D7601"/>
    <w:rsid w:val="006E19DE"/>
    <w:rsid w:val="006E4F74"/>
    <w:rsid w:val="006E740E"/>
    <w:rsid w:val="006F0B39"/>
    <w:rsid w:val="006F1168"/>
    <w:rsid w:val="006F1D70"/>
    <w:rsid w:val="006F2CD6"/>
    <w:rsid w:val="006F39DE"/>
    <w:rsid w:val="007020EC"/>
    <w:rsid w:val="0070443D"/>
    <w:rsid w:val="00707082"/>
    <w:rsid w:val="00707ADB"/>
    <w:rsid w:val="00713167"/>
    <w:rsid w:val="00721AEE"/>
    <w:rsid w:val="00722200"/>
    <w:rsid w:val="00727F6E"/>
    <w:rsid w:val="00742CE9"/>
    <w:rsid w:val="00743D75"/>
    <w:rsid w:val="007443F7"/>
    <w:rsid w:val="00744D5F"/>
    <w:rsid w:val="00745496"/>
    <w:rsid w:val="0074629C"/>
    <w:rsid w:val="00747AF0"/>
    <w:rsid w:val="007508B0"/>
    <w:rsid w:val="00751194"/>
    <w:rsid w:val="00755820"/>
    <w:rsid w:val="00757F2F"/>
    <w:rsid w:val="00760457"/>
    <w:rsid w:val="00760927"/>
    <w:rsid w:val="00760F88"/>
    <w:rsid w:val="00761303"/>
    <w:rsid w:val="00762A60"/>
    <w:rsid w:val="007636A4"/>
    <w:rsid w:val="00771931"/>
    <w:rsid w:val="00772790"/>
    <w:rsid w:val="00772EAD"/>
    <w:rsid w:val="007752DC"/>
    <w:rsid w:val="00775A0D"/>
    <w:rsid w:val="00776B26"/>
    <w:rsid w:val="00780E2D"/>
    <w:rsid w:val="00783C67"/>
    <w:rsid w:val="00784ABC"/>
    <w:rsid w:val="00784AE2"/>
    <w:rsid w:val="007857C5"/>
    <w:rsid w:val="00785B1D"/>
    <w:rsid w:val="00790D55"/>
    <w:rsid w:val="00792BFD"/>
    <w:rsid w:val="007955F4"/>
    <w:rsid w:val="00795E0D"/>
    <w:rsid w:val="00797B33"/>
    <w:rsid w:val="007A034E"/>
    <w:rsid w:val="007A2112"/>
    <w:rsid w:val="007A3D2E"/>
    <w:rsid w:val="007A6394"/>
    <w:rsid w:val="007A6AAF"/>
    <w:rsid w:val="007A711B"/>
    <w:rsid w:val="007B13B1"/>
    <w:rsid w:val="007B46C9"/>
    <w:rsid w:val="007B523D"/>
    <w:rsid w:val="007B6123"/>
    <w:rsid w:val="007C22A4"/>
    <w:rsid w:val="007C357F"/>
    <w:rsid w:val="007C5450"/>
    <w:rsid w:val="007D2E78"/>
    <w:rsid w:val="007D4A33"/>
    <w:rsid w:val="007D5EBC"/>
    <w:rsid w:val="007D6452"/>
    <w:rsid w:val="007E15ED"/>
    <w:rsid w:val="007E19D2"/>
    <w:rsid w:val="007E72CF"/>
    <w:rsid w:val="007F15DC"/>
    <w:rsid w:val="007F3E16"/>
    <w:rsid w:val="007F760F"/>
    <w:rsid w:val="00800342"/>
    <w:rsid w:val="00800815"/>
    <w:rsid w:val="008069E0"/>
    <w:rsid w:val="00816FDE"/>
    <w:rsid w:val="00820D44"/>
    <w:rsid w:val="00820FD1"/>
    <w:rsid w:val="00823232"/>
    <w:rsid w:val="00823CFF"/>
    <w:rsid w:val="008248C2"/>
    <w:rsid w:val="00832EDA"/>
    <w:rsid w:val="00835995"/>
    <w:rsid w:val="00837599"/>
    <w:rsid w:val="00840ADB"/>
    <w:rsid w:val="00840EF8"/>
    <w:rsid w:val="00842D24"/>
    <w:rsid w:val="00847EB9"/>
    <w:rsid w:val="00850AFE"/>
    <w:rsid w:val="008516C3"/>
    <w:rsid w:val="00855C4A"/>
    <w:rsid w:val="00856ADA"/>
    <w:rsid w:val="0086024E"/>
    <w:rsid w:val="00861AEE"/>
    <w:rsid w:val="008636A9"/>
    <w:rsid w:val="00872A9B"/>
    <w:rsid w:val="00873E61"/>
    <w:rsid w:val="0087557B"/>
    <w:rsid w:val="00875D1E"/>
    <w:rsid w:val="00880BBB"/>
    <w:rsid w:val="00882969"/>
    <w:rsid w:val="00883464"/>
    <w:rsid w:val="0088622E"/>
    <w:rsid w:val="008975BA"/>
    <w:rsid w:val="00897B8E"/>
    <w:rsid w:val="008A1028"/>
    <w:rsid w:val="008A1C32"/>
    <w:rsid w:val="008A656C"/>
    <w:rsid w:val="008A6915"/>
    <w:rsid w:val="008A7B31"/>
    <w:rsid w:val="008B06B3"/>
    <w:rsid w:val="008B17B6"/>
    <w:rsid w:val="008B651B"/>
    <w:rsid w:val="008C27F8"/>
    <w:rsid w:val="008C498D"/>
    <w:rsid w:val="008C4FF8"/>
    <w:rsid w:val="008D18C1"/>
    <w:rsid w:val="008D263F"/>
    <w:rsid w:val="008D2A1C"/>
    <w:rsid w:val="008E1900"/>
    <w:rsid w:val="008E1BD5"/>
    <w:rsid w:val="008E1D75"/>
    <w:rsid w:val="008E70AD"/>
    <w:rsid w:val="008E7F01"/>
    <w:rsid w:val="008F0F0F"/>
    <w:rsid w:val="008F35E5"/>
    <w:rsid w:val="008F47D5"/>
    <w:rsid w:val="008F4E3A"/>
    <w:rsid w:val="008F6F4E"/>
    <w:rsid w:val="009004C6"/>
    <w:rsid w:val="00900781"/>
    <w:rsid w:val="0090153B"/>
    <w:rsid w:val="00903E4C"/>
    <w:rsid w:val="009164E3"/>
    <w:rsid w:val="0091666E"/>
    <w:rsid w:val="00916FB3"/>
    <w:rsid w:val="00917F39"/>
    <w:rsid w:val="0092008E"/>
    <w:rsid w:val="009277AB"/>
    <w:rsid w:val="00931DA3"/>
    <w:rsid w:val="00935A8A"/>
    <w:rsid w:val="0094295E"/>
    <w:rsid w:val="00944F9A"/>
    <w:rsid w:val="009475AE"/>
    <w:rsid w:val="00951A5D"/>
    <w:rsid w:val="0095222B"/>
    <w:rsid w:val="00953DED"/>
    <w:rsid w:val="0096110D"/>
    <w:rsid w:val="00963308"/>
    <w:rsid w:val="00964ED4"/>
    <w:rsid w:val="00965F12"/>
    <w:rsid w:val="00965FFC"/>
    <w:rsid w:val="009704C0"/>
    <w:rsid w:val="00975044"/>
    <w:rsid w:val="00975AEE"/>
    <w:rsid w:val="0098307E"/>
    <w:rsid w:val="00983F1F"/>
    <w:rsid w:val="0098661D"/>
    <w:rsid w:val="00986D62"/>
    <w:rsid w:val="00986F70"/>
    <w:rsid w:val="009905ED"/>
    <w:rsid w:val="0099421B"/>
    <w:rsid w:val="009A2092"/>
    <w:rsid w:val="009A2947"/>
    <w:rsid w:val="009A6D80"/>
    <w:rsid w:val="009B1EFC"/>
    <w:rsid w:val="009B3A86"/>
    <w:rsid w:val="009C15C9"/>
    <w:rsid w:val="009C1AB3"/>
    <w:rsid w:val="009C25C9"/>
    <w:rsid w:val="009C4E2D"/>
    <w:rsid w:val="009D3B22"/>
    <w:rsid w:val="009D3B66"/>
    <w:rsid w:val="009D541E"/>
    <w:rsid w:val="009D614C"/>
    <w:rsid w:val="009D7A5B"/>
    <w:rsid w:val="009D7DFA"/>
    <w:rsid w:val="009E3465"/>
    <w:rsid w:val="009E5851"/>
    <w:rsid w:val="009E6174"/>
    <w:rsid w:val="009F0CE1"/>
    <w:rsid w:val="009F56D7"/>
    <w:rsid w:val="009F5940"/>
    <w:rsid w:val="009F6FB3"/>
    <w:rsid w:val="009F7339"/>
    <w:rsid w:val="00A02A0A"/>
    <w:rsid w:val="00A043B9"/>
    <w:rsid w:val="00A04887"/>
    <w:rsid w:val="00A0491E"/>
    <w:rsid w:val="00A04D5B"/>
    <w:rsid w:val="00A052CD"/>
    <w:rsid w:val="00A057FA"/>
    <w:rsid w:val="00A05C66"/>
    <w:rsid w:val="00A12114"/>
    <w:rsid w:val="00A127B2"/>
    <w:rsid w:val="00A15815"/>
    <w:rsid w:val="00A16409"/>
    <w:rsid w:val="00A168FB"/>
    <w:rsid w:val="00A1746D"/>
    <w:rsid w:val="00A20E20"/>
    <w:rsid w:val="00A21F4B"/>
    <w:rsid w:val="00A344DE"/>
    <w:rsid w:val="00A35B9B"/>
    <w:rsid w:val="00A36178"/>
    <w:rsid w:val="00A44EDC"/>
    <w:rsid w:val="00A46F8B"/>
    <w:rsid w:val="00A5180E"/>
    <w:rsid w:val="00A53F0D"/>
    <w:rsid w:val="00A5432C"/>
    <w:rsid w:val="00A60736"/>
    <w:rsid w:val="00A60E44"/>
    <w:rsid w:val="00A621F8"/>
    <w:rsid w:val="00A639E5"/>
    <w:rsid w:val="00A73C45"/>
    <w:rsid w:val="00A743FE"/>
    <w:rsid w:val="00A74655"/>
    <w:rsid w:val="00A82293"/>
    <w:rsid w:val="00A85B06"/>
    <w:rsid w:val="00A860D9"/>
    <w:rsid w:val="00A9229E"/>
    <w:rsid w:val="00A96670"/>
    <w:rsid w:val="00AA0129"/>
    <w:rsid w:val="00AA2427"/>
    <w:rsid w:val="00AA429C"/>
    <w:rsid w:val="00AA4CDA"/>
    <w:rsid w:val="00AA573B"/>
    <w:rsid w:val="00AA5BD8"/>
    <w:rsid w:val="00AA6DCE"/>
    <w:rsid w:val="00AA6FFA"/>
    <w:rsid w:val="00AA7F77"/>
    <w:rsid w:val="00AB5F39"/>
    <w:rsid w:val="00AC294F"/>
    <w:rsid w:val="00AC5B68"/>
    <w:rsid w:val="00AC5BB7"/>
    <w:rsid w:val="00AC60FA"/>
    <w:rsid w:val="00AC6641"/>
    <w:rsid w:val="00AC6B06"/>
    <w:rsid w:val="00AD561F"/>
    <w:rsid w:val="00AE0D38"/>
    <w:rsid w:val="00AE1D96"/>
    <w:rsid w:val="00AE1FA9"/>
    <w:rsid w:val="00AE3668"/>
    <w:rsid w:val="00AE45B9"/>
    <w:rsid w:val="00AE53E4"/>
    <w:rsid w:val="00AE6DA8"/>
    <w:rsid w:val="00AE79E3"/>
    <w:rsid w:val="00B001C6"/>
    <w:rsid w:val="00B02C15"/>
    <w:rsid w:val="00B079FF"/>
    <w:rsid w:val="00B10FEC"/>
    <w:rsid w:val="00B17D4F"/>
    <w:rsid w:val="00B20478"/>
    <w:rsid w:val="00B237C6"/>
    <w:rsid w:val="00B23AF6"/>
    <w:rsid w:val="00B24B8A"/>
    <w:rsid w:val="00B25158"/>
    <w:rsid w:val="00B258BA"/>
    <w:rsid w:val="00B301C3"/>
    <w:rsid w:val="00B416BD"/>
    <w:rsid w:val="00B41998"/>
    <w:rsid w:val="00B42BCD"/>
    <w:rsid w:val="00B44F91"/>
    <w:rsid w:val="00B46978"/>
    <w:rsid w:val="00B52D33"/>
    <w:rsid w:val="00B62222"/>
    <w:rsid w:val="00B74E03"/>
    <w:rsid w:val="00B76426"/>
    <w:rsid w:val="00B77ED8"/>
    <w:rsid w:val="00B82AB4"/>
    <w:rsid w:val="00B84C58"/>
    <w:rsid w:val="00B872E8"/>
    <w:rsid w:val="00B93971"/>
    <w:rsid w:val="00B95660"/>
    <w:rsid w:val="00B95B7E"/>
    <w:rsid w:val="00B9639F"/>
    <w:rsid w:val="00BA2042"/>
    <w:rsid w:val="00BA2507"/>
    <w:rsid w:val="00BA397B"/>
    <w:rsid w:val="00BA446B"/>
    <w:rsid w:val="00BA7A58"/>
    <w:rsid w:val="00BB0BB8"/>
    <w:rsid w:val="00BB2078"/>
    <w:rsid w:val="00BB392D"/>
    <w:rsid w:val="00BB756D"/>
    <w:rsid w:val="00BC0478"/>
    <w:rsid w:val="00BC09BE"/>
    <w:rsid w:val="00BC316E"/>
    <w:rsid w:val="00BC5777"/>
    <w:rsid w:val="00BC5B90"/>
    <w:rsid w:val="00BC63D5"/>
    <w:rsid w:val="00BE1306"/>
    <w:rsid w:val="00BE2C12"/>
    <w:rsid w:val="00BE4474"/>
    <w:rsid w:val="00BE5038"/>
    <w:rsid w:val="00BE7846"/>
    <w:rsid w:val="00BF1903"/>
    <w:rsid w:val="00BF22EB"/>
    <w:rsid w:val="00BF3460"/>
    <w:rsid w:val="00BF5B2A"/>
    <w:rsid w:val="00BF705F"/>
    <w:rsid w:val="00BF7EB7"/>
    <w:rsid w:val="00C057D8"/>
    <w:rsid w:val="00C10146"/>
    <w:rsid w:val="00C10C15"/>
    <w:rsid w:val="00C123BF"/>
    <w:rsid w:val="00C1315E"/>
    <w:rsid w:val="00C1636B"/>
    <w:rsid w:val="00C218A7"/>
    <w:rsid w:val="00C274A0"/>
    <w:rsid w:val="00C369A2"/>
    <w:rsid w:val="00C37FDB"/>
    <w:rsid w:val="00C41FD8"/>
    <w:rsid w:val="00C4284C"/>
    <w:rsid w:val="00C4299D"/>
    <w:rsid w:val="00C440CB"/>
    <w:rsid w:val="00C45C15"/>
    <w:rsid w:val="00C5163C"/>
    <w:rsid w:val="00C52008"/>
    <w:rsid w:val="00C52E22"/>
    <w:rsid w:val="00C55B00"/>
    <w:rsid w:val="00C60B8E"/>
    <w:rsid w:val="00C6180B"/>
    <w:rsid w:val="00C61C2E"/>
    <w:rsid w:val="00C64339"/>
    <w:rsid w:val="00C64D37"/>
    <w:rsid w:val="00C70AEA"/>
    <w:rsid w:val="00C723A8"/>
    <w:rsid w:val="00C734D7"/>
    <w:rsid w:val="00C74706"/>
    <w:rsid w:val="00C7795E"/>
    <w:rsid w:val="00C8287F"/>
    <w:rsid w:val="00C878F7"/>
    <w:rsid w:val="00C92546"/>
    <w:rsid w:val="00C95238"/>
    <w:rsid w:val="00C975E1"/>
    <w:rsid w:val="00CA3FF7"/>
    <w:rsid w:val="00CA4CE0"/>
    <w:rsid w:val="00CA7D62"/>
    <w:rsid w:val="00CB1541"/>
    <w:rsid w:val="00CB1CF0"/>
    <w:rsid w:val="00CB1FA7"/>
    <w:rsid w:val="00CB5CBC"/>
    <w:rsid w:val="00CB61F2"/>
    <w:rsid w:val="00CC27C3"/>
    <w:rsid w:val="00CC5080"/>
    <w:rsid w:val="00CC77BA"/>
    <w:rsid w:val="00CD0C4D"/>
    <w:rsid w:val="00CD1938"/>
    <w:rsid w:val="00CD2382"/>
    <w:rsid w:val="00CF0B70"/>
    <w:rsid w:val="00CF10AF"/>
    <w:rsid w:val="00CF2DB7"/>
    <w:rsid w:val="00CF2F5C"/>
    <w:rsid w:val="00CF4A58"/>
    <w:rsid w:val="00CF57F2"/>
    <w:rsid w:val="00CF6745"/>
    <w:rsid w:val="00CF7A39"/>
    <w:rsid w:val="00CF7E8E"/>
    <w:rsid w:val="00D002D4"/>
    <w:rsid w:val="00D07996"/>
    <w:rsid w:val="00D1012A"/>
    <w:rsid w:val="00D10AB8"/>
    <w:rsid w:val="00D11ED6"/>
    <w:rsid w:val="00D16AC7"/>
    <w:rsid w:val="00D2470C"/>
    <w:rsid w:val="00D33568"/>
    <w:rsid w:val="00D337CE"/>
    <w:rsid w:val="00D33EFD"/>
    <w:rsid w:val="00D34E4B"/>
    <w:rsid w:val="00D3741D"/>
    <w:rsid w:val="00D37CC9"/>
    <w:rsid w:val="00D50701"/>
    <w:rsid w:val="00D52B08"/>
    <w:rsid w:val="00D541CF"/>
    <w:rsid w:val="00D549DC"/>
    <w:rsid w:val="00D63E59"/>
    <w:rsid w:val="00D640EC"/>
    <w:rsid w:val="00D65AEF"/>
    <w:rsid w:val="00D66335"/>
    <w:rsid w:val="00D663C1"/>
    <w:rsid w:val="00D71B3A"/>
    <w:rsid w:val="00D766FB"/>
    <w:rsid w:val="00D772F6"/>
    <w:rsid w:val="00D80D7C"/>
    <w:rsid w:val="00D811F3"/>
    <w:rsid w:val="00D825BB"/>
    <w:rsid w:val="00D83092"/>
    <w:rsid w:val="00D831BA"/>
    <w:rsid w:val="00D83350"/>
    <w:rsid w:val="00D84764"/>
    <w:rsid w:val="00D90131"/>
    <w:rsid w:val="00D9221F"/>
    <w:rsid w:val="00D944B6"/>
    <w:rsid w:val="00D94D47"/>
    <w:rsid w:val="00DA5712"/>
    <w:rsid w:val="00DB3829"/>
    <w:rsid w:val="00DB472E"/>
    <w:rsid w:val="00DC2BE6"/>
    <w:rsid w:val="00DC2C02"/>
    <w:rsid w:val="00DD0625"/>
    <w:rsid w:val="00DD12AE"/>
    <w:rsid w:val="00DD7DD2"/>
    <w:rsid w:val="00DE507F"/>
    <w:rsid w:val="00DF0595"/>
    <w:rsid w:val="00DF43AC"/>
    <w:rsid w:val="00DF66B5"/>
    <w:rsid w:val="00E02C95"/>
    <w:rsid w:val="00E11CF3"/>
    <w:rsid w:val="00E16821"/>
    <w:rsid w:val="00E16FFD"/>
    <w:rsid w:val="00E209F2"/>
    <w:rsid w:val="00E27A0B"/>
    <w:rsid w:val="00E315BC"/>
    <w:rsid w:val="00E31B7F"/>
    <w:rsid w:val="00E33A7B"/>
    <w:rsid w:val="00E42EB8"/>
    <w:rsid w:val="00E43007"/>
    <w:rsid w:val="00E44CB2"/>
    <w:rsid w:val="00E50517"/>
    <w:rsid w:val="00E5268D"/>
    <w:rsid w:val="00E52E09"/>
    <w:rsid w:val="00E57C98"/>
    <w:rsid w:val="00E63048"/>
    <w:rsid w:val="00E646ED"/>
    <w:rsid w:val="00E648F8"/>
    <w:rsid w:val="00E676AB"/>
    <w:rsid w:val="00E70515"/>
    <w:rsid w:val="00E7564B"/>
    <w:rsid w:val="00E769A8"/>
    <w:rsid w:val="00E81388"/>
    <w:rsid w:val="00E84596"/>
    <w:rsid w:val="00E85223"/>
    <w:rsid w:val="00E879A6"/>
    <w:rsid w:val="00E955CF"/>
    <w:rsid w:val="00E9575B"/>
    <w:rsid w:val="00E971E7"/>
    <w:rsid w:val="00EA00B8"/>
    <w:rsid w:val="00EA5F8D"/>
    <w:rsid w:val="00EA61FB"/>
    <w:rsid w:val="00EA6892"/>
    <w:rsid w:val="00EB066A"/>
    <w:rsid w:val="00EB0BCE"/>
    <w:rsid w:val="00EB0CA0"/>
    <w:rsid w:val="00EB0D06"/>
    <w:rsid w:val="00EB2CB1"/>
    <w:rsid w:val="00EB4948"/>
    <w:rsid w:val="00EC1BA7"/>
    <w:rsid w:val="00EC313F"/>
    <w:rsid w:val="00EC6213"/>
    <w:rsid w:val="00EC72AD"/>
    <w:rsid w:val="00EC7DEF"/>
    <w:rsid w:val="00ED1757"/>
    <w:rsid w:val="00ED2CA0"/>
    <w:rsid w:val="00ED760A"/>
    <w:rsid w:val="00EE2DB3"/>
    <w:rsid w:val="00EF0B4A"/>
    <w:rsid w:val="00EF3156"/>
    <w:rsid w:val="00EF3EA5"/>
    <w:rsid w:val="00EF5210"/>
    <w:rsid w:val="00EF6045"/>
    <w:rsid w:val="00EF6D29"/>
    <w:rsid w:val="00F00118"/>
    <w:rsid w:val="00F00512"/>
    <w:rsid w:val="00F02825"/>
    <w:rsid w:val="00F043EF"/>
    <w:rsid w:val="00F0587F"/>
    <w:rsid w:val="00F05A97"/>
    <w:rsid w:val="00F05C01"/>
    <w:rsid w:val="00F060AF"/>
    <w:rsid w:val="00F11955"/>
    <w:rsid w:val="00F13AFC"/>
    <w:rsid w:val="00F15BC7"/>
    <w:rsid w:val="00F16463"/>
    <w:rsid w:val="00F21C9C"/>
    <w:rsid w:val="00F22554"/>
    <w:rsid w:val="00F24C45"/>
    <w:rsid w:val="00F354FD"/>
    <w:rsid w:val="00F379DA"/>
    <w:rsid w:val="00F41B79"/>
    <w:rsid w:val="00F43856"/>
    <w:rsid w:val="00F43D09"/>
    <w:rsid w:val="00F44689"/>
    <w:rsid w:val="00F46FE4"/>
    <w:rsid w:val="00F47B97"/>
    <w:rsid w:val="00F50E2A"/>
    <w:rsid w:val="00F51100"/>
    <w:rsid w:val="00F520BA"/>
    <w:rsid w:val="00F543A6"/>
    <w:rsid w:val="00F54421"/>
    <w:rsid w:val="00F65BA0"/>
    <w:rsid w:val="00F661E3"/>
    <w:rsid w:val="00F67237"/>
    <w:rsid w:val="00F6748E"/>
    <w:rsid w:val="00F6764C"/>
    <w:rsid w:val="00F700D8"/>
    <w:rsid w:val="00F70685"/>
    <w:rsid w:val="00F70EE2"/>
    <w:rsid w:val="00F717A3"/>
    <w:rsid w:val="00F754C7"/>
    <w:rsid w:val="00F81B86"/>
    <w:rsid w:val="00F824F5"/>
    <w:rsid w:val="00F84092"/>
    <w:rsid w:val="00F92311"/>
    <w:rsid w:val="00F95A53"/>
    <w:rsid w:val="00F96EC6"/>
    <w:rsid w:val="00FA0C47"/>
    <w:rsid w:val="00FA14D5"/>
    <w:rsid w:val="00FA1F03"/>
    <w:rsid w:val="00FB0A3E"/>
    <w:rsid w:val="00FB20F4"/>
    <w:rsid w:val="00FB5A97"/>
    <w:rsid w:val="00FC071C"/>
    <w:rsid w:val="00FC221D"/>
    <w:rsid w:val="00FC2791"/>
    <w:rsid w:val="00FC3773"/>
    <w:rsid w:val="00FD05E7"/>
    <w:rsid w:val="00FD3945"/>
    <w:rsid w:val="00FD4719"/>
    <w:rsid w:val="00FD5607"/>
    <w:rsid w:val="00FD7FE2"/>
    <w:rsid w:val="00FE044A"/>
    <w:rsid w:val="00FE10A7"/>
    <w:rsid w:val="00FF1380"/>
    <w:rsid w:val="00FF1D77"/>
    <w:rsid w:val="00FF2D16"/>
    <w:rsid w:val="00FF39CC"/>
    <w:rsid w:val="00FF4280"/>
    <w:rsid w:val="00FF4C98"/>
    <w:rsid w:val="00FF5B9D"/>
    <w:rsid w:val="00FF75E7"/>
    <w:rsid w:val="00FF7692"/>
    <w:rsid w:val="39AF6F29"/>
    <w:rsid w:val="457A0A56"/>
    <w:rsid w:val="48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A7AC1"/>
    <w:rPr>
      <w:sz w:val="24"/>
    </w:rPr>
  </w:style>
  <w:style w:type="character" w:styleId="aa">
    <w:name w:val="Hyperlink"/>
    <w:basedOn w:val="a0"/>
    <w:unhideWhenUsed/>
    <w:rsid w:val="001B3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A7AC1"/>
    <w:rPr>
      <w:sz w:val="24"/>
    </w:rPr>
  </w:style>
  <w:style w:type="character" w:styleId="aa">
    <w:name w:val="Hyperlink"/>
    <w:basedOn w:val="a0"/>
    <w:unhideWhenUsed/>
    <w:rsid w:val="001B3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53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98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qichacha.com/firm_14785ab01239475f49a0116b2482794c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7818C-1DB3-41A3-8820-434456E6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579</Words>
  <Characters>3305</Characters>
  <Application>Microsoft Office Word</Application>
  <DocSecurity>0</DocSecurity>
  <Lines>27</Lines>
  <Paragraphs>7</Paragraphs>
  <ScaleCrop>false</ScaleCrop>
  <Company>MC SYSTEM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MC SYSTEM</dc:creator>
  <cp:lastModifiedBy>renee</cp:lastModifiedBy>
  <cp:revision>4</cp:revision>
  <cp:lastPrinted>2019-05-09T04:05:00Z</cp:lastPrinted>
  <dcterms:created xsi:type="dcterms:W3CDTF">2019-05-09T07:36:00Z</dcterms:created>
  <dcterms:modified xsi:type="dcterms:W3CDTF">2019-05-09T07:41:00Z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